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6.xml" ContentType="application/vnd.openxmlformats-officedocument.customXmlProperties+xml"/>
  <Override PartName="/word/theme/theme1.xml" ContentType="application/vnd.openxmlformats-officedocument.theme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298"/>
      </w:pPr>
      <w:r>
        <w:t xml:space="preserve">ФЕДЕРАЛЬНОЕ КАЗНАЧЕЙСТВО (КАЗНАЧЕЙСТВО РОССИИ)</w:t>
      </w:r>
      <w:r/>
    </w:p>
    <w:p>
      <w:r/>
      <w:r/>
    </w:p>
    <w:p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300"/>
            </w:pPr>
            <w:r>
              <w:t xml:space="preserve">УТВЕРЖДАЮ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300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272"/>
            </w:pPr>
            <w:r>
              <w:t xml:space="preserve">От Федерального</w:t>
            </w:r>
            <w:r>
              <w:t xml:space="preserve"> казначейства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272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  <w:rPr>
                <w:rStyle w:val="1294"/>
              </w:rPr>
            </w:pPr>
            <w:r>
              <w:rPr>
                <w:rStyle w:val="1294"/>
              </w:rPr>
            </w:r>
            <w:r>
              <w:rPr>
                <w:rStyle w:val="1294"/>
              </w:rPr>
            </w:r>
            <w:r>
              <w:rPr>
                <w:rStyle w:val="1294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  <w:rPr>
                <w:rStyle w:val="1294"/>
              </w:rPr>
            </w:pPr>
            <w:r>
              <w:rPr>
                <w:rStyle w:val="1294"/>
              </w:rPr>
            </w:r>
            <w:r>
              <w:rPr>
                <w:rStyle w:val="1294"/>
              </w:rPr>
            </w:r>
            <w:r>
              <w:rPr>
                <w:rStyle w:val="1294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  <w:rPr>
                <w:rStyle w:val="1294"/>
              </w:rPr>
            </w:pPr>
            <w:r>
              <w:rPr>
                <w:rStyle w:val="1294"/>
              </w:rPr>
              <w:t xml:space="preserve">                             </w:t>
            </w:r>
            <w:r>
              <w:t xml:space="preserve">Х.Х. Хххххххххх</w:t>
            </w:r>
            <w:r>
              <w:rPr>
                <w:rStyle w:val="1294"/>
              </w:rPr>
            </w:r>
            <w:r>
              <w:rPr>
                <w:rStyle w:val="1294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</w:pPr>
            <w:r>
              <w:t xml:space="preserve">«</w:t>
            </w:r>
            <w:r>
              <w:rPr>
                <w:rStyle w:val="1294"/>
              </w:rPr>
              <w:t xml:space="preserve">         </w:t>
            </w:r>
            <w:r>
              <w:t xml:space="preserve">»</w:t>
            </w:r>
            <w:r>
              <w:rPr>
                <w:rStyle w:val="1294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1294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</w:tr>
    </w:tbl>
    <w:p>
      <w:pPr>
        <w:pStyle w:val="1266"/>
      </w:pPr>
      <w:r/>
      <w:r/>
    </w:p>
    <w:p>
      <w:pPr>
        <w:pStyle w:val="1266"/>
      </w:pPr>
      <w:r/>
      <w:r/>
    </w:p>
    <w:p>
      <w:pPr>
        <w:pStyle w:val="1266"/>
      </w:pPr>
      <w:r/>
      <w:r/>
    </w:p>
    <w:p>
      <w:pPr>
        <w:pStyle w:val="1280"/>
      </w:pPr>
      <w:r>
        <w:t xml:space="preserve">Наименование информационной системы</w:t>
      </w:r>
      <w:r/>
    </w:p>
    <w:p>
      <w:pPr>
        <w:pStyle w:val="1261"/>
      </w:pPr>
      <w:r/>
      <w:r/>
    </w:p>
    <w:p>
      <w:pPr>
        <w:pStyle w:val="1281"/>
      </w:pPr>
      <w:r>
        <w:t xml:space="preserve">Техническое задание/Частное техническое задание</w:t>
      </w:r>
      <w:r/>
    </w:p>
    <w:p>
      <w:pPr>
        <w:pStyle w:val="1261"/>
      </w:pPr>
      <w:r/>
      <w:r/>
    </w:p>
    <w:p>
      <w:pPr>
        <w:pStyle w:val="1281"/>
      </w:pPr>
      <w:r>
        <w:t xml:space="preserve">Лист утверждения</w:t>
      </w:r>
      <w:r/>
    </w:p>
    <w:p>
      <w:pPr>
        <w:pStyle w:val="1261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1292"/>
        </w:rPr>
        <w:t xml:space="preserve">ТЗ</w:t>
      </w:r>
      <w:r>
        <w:t xml:space="preserve">.DDD-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1261"/>
      </w:pPr>
      <w:r/>
      <w:r/>
    </w:p>
    <w:p>
      <w:pPr>
        <w:pStyle w:val="1261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1261"/>
      </w:pPr>
      <w:r/>
      <w:r/>
    </w:p>
    <w:p>
      <w:pPr>
        <w:pStyle w:val="1261"/>
      </w:pPr>
      <w:r>
        <w:br/>
      </w:r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300"/>
            </w:pPr>
            <w:r>
              <w:t xml:space="preserve">СОГЛАСОВАНО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300"/>
            </w:pPr>
            <w:r>
              <w:t xml:space="preserve">СОГЛАСОВАНО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272"/>
            </w:pPr>
            <w:r>
              <w:t xml:space="preserve">От </w:t>
            </w:r>
            <w:r>
              <w:t xml:space="preserve">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272"/>
            </w:pPr>
            <w:r>
              <w:t xml:space="preserve">От Организации-исполнителя</w:t>
            </w:r>
            <w:r/>
          </w:p>
          <w:p>
            <w:pPr>
              <w:pStyle w:val="1272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</w:pPr>
            <w:r>
              <w:rPr>
                <w:rStyle w:val="1294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</w:pPr>
            <w:r>
              <w:rPr>
                <w:rStyle w:val="1294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</w:pPr>
            <w:r>
              <w:t xml:space="preserve">«</w:t>
            </w:r>
            <w:r>
              <w:rPr>
                <w:rStyle w:val="1294"/>
              </w:rPr>
              <w:t xml:space="preserve">         </w:t>
            </w:r>
            <w:r>
              <w:t xml:space="preserve">»</w:t>
            </w:r>
            <w:r>
              <w:rPr>
                <w:rStyle w:val="1294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1294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</w:pPr>
            <w:r>
              <w:t xml:space="preserve">«</w:t>
            </w:r>
            <w:r>
              <w:rPr>
                <w:rStyle w:val="1294"/>
              </w:rPr>
              <w:t xml:space="preserve">         </w:t>
            </w:r>
            <w:r>
              <w:t xml:space="preserve">»</w:t>
            </w:r>
            <w:r>
              <w:rPr>
                <w:rStyle w:val="1294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1294"/>
              </w:rPr>
              <w:t xml:space="preserve">   </w:t>
            </w:r>
            <w:r>
              <w:t xml:space="preserve">г.</w:t>
            </w:r>
            <w:r/>
          </w:p>
        </w:tc>
      </w:tr>
    </w:tbl>
    <w:p>
      <w:pPr>
        <w:pStyle w:val="1261"/>
      </w:pPr>
      <w:r/>
      <w:r/>
    </w:p>
    <w:p>
      <w:pPr>
        <w:pStyle w:val="1261"/>
      </w:pPr>
      <w:r/>
      <w:r/>
    </w:p>
    <w:p>
      <w:r/>
      <w:r/>
    </w:p>
    <w:p>
      <w:pPr>
        <w:sectPr>
          <w:headerReference w:type="default" r:id="rId9"/>
          <w:footerReference w:type="first" r:id="rId11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1298"/>
      </w:pPr>
      <w:r>
        <w:t xml:space="preserve">ФЕДЕРАЛЬНОЕ КАЗНАЧЕЙСТВО (КАЗНАЧЕЙСТВО РОССИИ)</w:t>
      </w:r>
      <w:r/>
    </w:p>
    <w:p>
      <w:r/>
      <w:r/>
    </w:p>
    <w:p>
      <w:pPr>
        <w:jc w:val="left"/>
      </w:pPr>
      <w:r/>
      <w:r/>
    </w:p>
    <w:p>
      <w:pPr>
        <w:pStyle w:val="1300"/>
      </w:pPr>
      <w:r>
        <w:rPr>
          <w:lang w:val="en-US"/>
        </w:rPr>
        <w:t xml:space="preserve">           </w:t>
      </w:r>
      <w:r>
        <w:t xml:space="preserve">УТВЕРЖДЕН</w:t>
      </w:r>
      <w:r/>
    </w:p>
    <w:p>
      <w:pPr>
        <w:pStyle w:val="1266"/>
        <w:jc w:val="left"/>
      </w:pPr>
      <w:r>
        <w:t xml:space="preserve">XXXXXXXX.AA.BB,BB.</w:t>
      </w:r>
      <w:r>
        <w:rPr>
          <w:rStyle w:val="1292"/>
        </w:rPr>
        <w:t xml:space="preserve">ТЗ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1266"/>
      </w:pPr>
      <w:r/>
      <w:r/>
    </w:p>
    <w:p>
      <w:pPr>
        <w:pStyle w:val="1266"/>
      </w:pPr>
      <w:r/>
      <w:r/>
    </w:p>
    <w:p>
      <w:pPr>
        <w:pStyle w:val="1266"/>
      </w:pPr>
      <w:r/>
      <w:r/>
    </w:p>
    <w:p>
      <w:pPr>
        <w:pStyle w:val="1266"/>
      </w:pPr>
      <w:r/>
      <w:r/>
    </w:p>
    <w:p>
      <w:pPr>
        <w:pStyle w:val="1266"/>
      </w:pPr>
      <w:r/>
      <w:r/>
    </w:p>
    <w:p>
      <w:pPr>
        <w:pStyle w:val="1280"/>
      </w:pPr>
      <w:r>
        <w:t xml:space="preserve">Наименование информационной системы</w:t>
      </w:r>
      <w:r/>
    </w:p>
    <w:p>
      <w:pPr>
        <w:pStyle w:val="1261"/>
      </w:pPr>
      <w:r/>
      <w:r/>
    </w:p>
    <w:p>
      <w:pPr>
        <w:pStyle w:val="1281"/>
      </w:pPr>
      <w:r/>
      <w:r>
        <w:t xml:space="preserve">Техническое задание/Частное техническое задание</w:t>
      </w:r>
      <w:r/>
      <w:r/>
      <w:r/>
    </w:p>
    <w:p>
      <w:pPr>
        <w:pStyle w:val="1261"/>
      </w:pPr>
      <w:r/>
      <w:r/>
    </w:p>
    <w:p>
      <w:pPr>
        <w:pStyle w:val="1261"/>
      </w:pPr>
      <w:r>
        <w:t xml:space="preserve">Код документа: XXXXXXXX.AA.BB,BB.</w:t>
      </w:r>
      <w:r>
        <w:rPr>
          <w:rStyle w:val="1292"/>
        </w:rPr>
        <w:t xml:space="preserve">ТЗ</w:t>
      </w:r>
      <w:r>
        <w:t xml:space="preserve">.DDD-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r/>
    </w:p>
    <w:p>
      <w:pPr>
        <w:pStyle w:val="1261"/>
      </w:pPr>
      <w:r/>
      <w:r/>
    </w:p>
    <w:p>
      <w:pPr>
        <w:pStyle w:val="1261"/>
      </w:pPr>
      <w:r>
        <w:t xml:space="preserve">Листов: </w:t>
      </w:r>
      <w:r>
        <w:t xml:space="preserve">70</w:t>
      </w:r>
      <w:r/>
    </w:p>
    <w:p>
      <w:pPr>
        <w:pStyle w:val="1261"/>
      </w:pPr>
      <w:r/>
      <w:r/>
    </w:p>
    <w:p>
      <w:pPr>
        <w:pStyle w:val="1261"/>
      </w:pPr>
      <w:r/>
      <w:r/>
    </w:p>
    <w:p>
      <w:pPr>
        <w:pStyle w:val="1261"/>
      </w:pPr>
      <w:r/>
      <w:r/>
    </w:p>
    <w:p>
      <w:pPr>
        <w:pStyle w:val="1261"/>
      </w:pPr>
      <w:r/>
      <w:r/>
    </w:p>
    <w:p>
      <w:pPr>
        <w:pStyle w:val="1261"/>
      </w:pPr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300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300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272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272"/>
            </w:pPr>
            <w:r/>
            <w:r/>
          </w:p>
        </w:tc>
      </w:tr>
    </w:tbl>
    <w:p>
      <w:pPr>
        <w:pStyle w:val="1261"/>
      </w:pPr>
      <w:r/>
      <w:r/>
    </w:p>
    <w:p>
      <w:pPr>
        <w:pStyle w:val="1261"/>
      </w:pPr>
      <w:r/>
      <w:r/>
    </w:p>
    <w:p>
      <w:pPr>
        <w:pStyle w:val="1261"/>
      </w:pPr>
      <w:r/>
      <w:r/>
    </w:p>
    <w:p>
      <w:pPr>
        <w:pStyle w:val="1232"/>
        <w:rPr>
          <w:rFonts w:ascii="Times New Roman" w:hAnsi="Times New Roman"/>
        </w:rPr>
      </w:pPr>
      <w:r/>
      <w:bookmarkStart w:id="1" w:name="_Toc82602001"/>
      <w:r>
        <w:br w:type="page" w:clear="all"/>
      </w:r>
      <w:bookmarkEnd w:id="1"/>
      <w:r>
        <w:rPr>
          <w:rFonts w:ascii="Times New Roman" w:hAnsi="Times New Roman"/>
        </w:rPr>
        <w:t xml:space="preserve">Аннотация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306"/>
      </w:pPr>
      <w:r>
        <w:t xml:space="preserve">В настоящем документе приводятся требования к разработке технического задания на создание (развитие или модернизацию) информационной системы (далее – ИС).</w:t>
      </w:r>
      <w:r/>
    </w:p>
    <w:p>
      <w:pPr>
        <w:pStyle w:val="1306"/>
      </w:pPr>
      <w:r>
        <w:t xml:space="preserve">Требования данного документа также распространяются на Частные технические задания и Дополнения к техническим заданиям. </w:t>
      </w:r>
      <w:r/>
    </w:p>
    <w:p>
      <w:pPr>
        <w:pStyle w:val="1306"/>
      </w:pPr>
      <w:r>
        <w:t xml:space="preserve">ТЗ на создание ИС является основным документом, определяющим:</w:t>
      </w:r>
      <w:r/>
    </w:p>
    <w:p>
      <w:pPr>
        <w:pStyle w:val="1245"/>
      </w:pPr>
      <w:r>
        <w:t xml:space="preserve">требования к создаваемой ИС;</w:t>
      </w:r>
      <w:r/>
    </w:p>
    <w:p>
      <w:pPr>
        <w:pStyle w:val="1245"/>
      </w:pPr>
      <w:r>
        <w:t xml:space="preserve">порядок создания (развития</w:t>
      </w:r>
      <w:r>
        <w:t xml:space="preserve">)</w:t>
      </w:r>
      <w:r>
        <w:t xml:space="preserve"> ИС, в соответствии с которым проводится разработка ИС и ее приемка при вводе в действие.</w:t>
      </w:r>
      <w:r/>
    </w:p>
    <w:p>
      <w:pPr>
        <w:pStyle w:val="1306"/>
      </w:pPr>
      <w:r>
        <w:t xml:space="preserve">Состав требований к ИС устанавливают в зависимости от вида, назначения, специфических особенностей и условий функционирования конкретной системы.</w:t>
      </w:r>
      <w:r/>
    </w:p>
    <w:p>
      <w:pPr>
        <w:pStyle w:val="1306"/>
      </w:pPr>
      <w:r>
        <w:t xml:space="preserve">ТЗ на создание ИС разрабатывают на систему в целом, предназначенную для работы самостоятельно или </w:t>
      </w:r>
      <w:r>
        <w:t xml:space="preserve">на подсистему</w:t>
      </w:r>
      <w:r>
        <w:t xml:space="preserve">.</w:t>
      </w:r>
      <w:r/>
    </w:p>
    <w:p>
      <w:pPr>
        <w:pStyle w:val="1306"/>
      </w:pPr>
      <w:r>
        <w:t xml:space="preserve">В ТЗ на создание ИС могут включаться приложения. В зависи</w:t>
      </w:r>
      <w:r>
        <w:t xml:space="preserve">мости от вида, назначения, специфических особенностей объекта автоматизации и условий функционирования системы допускается оформлять разделы ТЗ на создание ИС в виде приложений, вводить дополнительные, исключать или объединять подразделы ТЗ на создание ИС.</w:t>
      </w:r>
      <w:r/>
    </w:p>
    <w:p>
      <w:pPr>
        <w:pStyle w:val="1306"/>
      </w:pPr>
      <w:r>
        <w:t xml:space="preserve">В разделах ТЗ могут быть приведены ссы</w:t>
      </w:r>
      <w:r>
        <w:t xml:space="preserve">лки на действующие нормативно-технические документы, определяющие требования к системам подобного рода, при этом требования к создаваемой ИС должны быть указаны в ТЗ в явном виде и не должны выполняться в виде ссылок на пункты и разделы внешних документов.</w:t>
      </w:r>
      <w:r/>
    </w:p>
    <w:p>
      <w:pPr>
        <w:pStyle w:val="1306"/>
      </w:pPr>
      <w:r>
        <w:t xml:space="preserve">Допо</w:t>
      </w:r>
      <w:r>
        <w:t xml:space="preserve">лнительно к ТЗ могут быть разработаны частные технические задания (ЧТЗ) на части ИС (подсистемы, модули, программно-технические комплексы, программные средства и прочее). В ЧТЗ не включают разделы, дублирующие содержание разделов ТЗ на создание ИС в целом.</w:t>
      </w:r>
      <w:r/>
    </w:p>
    <w:p>
      <w:pPr>
        <w:pStyle w:val="1306"/>
      </w:pPr>
      <w:r>
        <w:t xml:space="preserve">При необходимости внесения в ТЗ на создание ИС значительного количества изменений может быть выпущена новая версия ТЗ на создание ИС. В этом случае на титульном листе новой версии ТЗ на создание ИС должна быть выполнена запись "Действует с ...".</w:t>
      </w:r>
      <w:r/>
    </w:p>
    <w:p>
      <w:pPr>
        <w:pStyle w:val="1306"/>
      </w:pPr>
      <w:r>
        <w:t xml:space="preserve">При оформлении ТЗ должны использоваться стили, предусмотренные в настоящем шаблоне.</w:t>
      </w:r>
      <w:r/>
    </w:p>
    <w:p>
      <w:pPr>
        <w:pStyle w:val="1306"/>
      </w:pPr>
      <w:r>
        <w:t xml:space="preserve">Все пункты ТЗ должны иметь последовательную нумерацию и быть выполнены с использованием предусмотренных для её организации стилей ("Пункт 2 уровня", "Пункт 3 уровня" и т.д.).</w:t>
      </w:r>
      <w:r/>
    </w:p>
    <w:p>
      <w:pPr>
        <w:pStyle w:val="1306"/>
      </w:pPr>
      <w:r>
        <w:t xml:space="preserve">Часть требований в настоящем шаблоне приводится в явном виде. Такие требования должны быть включены в ТЗ на ИС в неизменном виде, отсутствие или изменение таких требований в тексте ТЗ на ИС должно быть обосновано конкретными особенностями создаваемой ИС.</w:t>
      </w:r>
      <w:r/>
    </w:p>
    <w:p>
      <w:pPr>
        <w:pStyle w:val="1306"/>
      </w:pPr>
      <w:r>
        <w:t xml:space="preserve">В настоящем шаблоне </w:t>
      </w:r>
      <w:r>
        <w:rPr>
          <w:rStyle w:val="1293"/>
        </w:rPr>
        <w:t xml:space="preserve">курсивом выделены типовые требования к содержанию разделов ТЗ и дополнительные пояснения и рекомендации по наполнению разделов</w:t>
      </w:r>
      <w:r>
        <w:t xml:space="preserve">. Данные требования и указания из ТЗ на ИС должны быть удалены. </w:t>
      </w:r>
      <w:r/>
    </w:p>
    <w:p>
      <w:pPr>
        <w:pStyle w:val="1306"/>
      </w:pPr>
      <w:r>
        <w:t xml:space="preserve">В ТЗ на ИС должны присутствовать все разделы, определённые в настоящем шаблоне. В случае неприменимости требований какого-либо раздела к ИС в нём необходимо указать, что "Специальные требования по &lt;</w:t>
      </w:r>
      <w:r>
        <w:rPr>
          <w:rStyle w:val="1293"/>
        </w:rPr>
        <w:t xml:space="preserve">наименование раздела</w:t>
      </w:r>
      <w:r>
        <w:t xml:space="preserve">&gt; к ИС не предъявляются". </w:t>
      </w:r>
      <w:r/>
    </w:p>
    <w:p>
      <w:pPr>
        <w:pStyle w:val="1306"/>
        <w:numPr>
          <w:ilvl w:val="0"/>
          <w:numId w:val="0"/>
        </w:numPr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1266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1266"/>
        <w:ind w:firstLine="709"/>
      </w:pPr>
      <w:r>
        <w:t xml:space="preserve">1. BB,BB – полное наименование подсистемы ИС (компонента, модуля)</w:t>
      </w:r>
      <w:r>
        <w:t xml:space="preserve">.</w:t>
      </w:r>
      <w:r/>
    </w:p>
    <w:p>
      <w:pPr>
        <w:pStyle w:val="1266"/>
        <w:ind w:firstLine="709"/>
      </w:pPr>
      <w:r>
        <w:t xml:space="preserve">Перечень области применения документа:</w:t>
      </w:r>
      <w:r/>
    </w:p>
    <w:p>
      <w:pPr>
        <w:pStyle w:val="1266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</w:t>
      </w:r>
      <w:r/>
    </w:p>
    <w:p>
      <w:pPr>
        <w:pStyle w:val="1232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  <w:t xml:space="preserve">Содержание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TOC \h \z \t "Заголовок 1;1;Заголовок 2;2;Заголовок 3;3;Заголовок приложения;1"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39"/>
        <w:rPr>
          <w:rFonts w:ascii="Times New Roman" w:hAnsi="Times New Roman" w:eastAsiaTheme="minorEastAsia"/>
          <w:b w:val="0"/>
          <w:sz w:val="22"/>
          <w:szCs w:val="22"/>
          <w:lang w:eastAsia="ru-RU"/>
        </w:rPr>
      </w:pPr>
      <w:r/>
      <w:hyperlink w:tooltip="#_Toc2762758" w:anchor="_Toc2762758" w:history="1">
        <w:r>
          <w:rPr>
            <w:rStyle w:val="1231"/>
            <w:rFonts w:ascii="Times New Roman" w:hAnsi="Times New Roman"/>
          </w:rPr>
          <w:t xml:space="preserve">1 Общие положения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_Toc2762758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9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</w:p>
    <w:p>
      <w:pPr>
        <w:pStyle w:val="1239"/>
        <w:rPr>
          <w:rFonts w:ascii="Times New Roman" w:hAnsi="Times New Roman" w:eastAsiaTheme="minorEastAsia"/>
          <w:b w:val="0"/>
          <w:sz w:val="22"/>
          <w:szCs w:val="22"/>
          <w:lang w:eastAsia="ru-RU"/>
        </w:rPr>
      </w:pPr>
      <w:r/>
      <w:hyperlink w:tooltip="#_Toc2762759" w:anchor="_Toc2762759" w:history="1">
        <w:r>
          <w:rPr>
            <w:rStyle w:val="1231"/>
            <w:rFonts w:ascii="Times New Roman" w:hAnsi="Times New Roman"/>
          </w:rPr>
          <w:t xml:space="preserve">2 Назначение и цели создания (развития) системы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_Toc2762759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10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60" w:anchor="_Toc2762760" w:history="1">
        <w:r>
          <w:rPr>
            <w:rStyle w:val="1231"/>
            <w:rFonts w:ascii="Times New Roman" w:hAnsi="Times New Roman"/>
          </w:rPr>
          <w:t xml:space="preserve">2.1 Назначение системы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_Toc2762760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10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61" w:anchor="_Toc2762761" w:history="1">
        <w:r>
          <w:rPr>
            <w:rStyle w:val="1231"/>
            <w:rFonts w:ascii="Times New Roman" w:hAnsi="Times New Roman"/>
          </w:rPr>
          <w:t xml:space="preserve">2.2 Цели создания системы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_Toc2762761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10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39"/>
        <w:rPr>
          <w:rFonts w:ascii="Times New Roman" w:hAnsi="Times New Roman" w:eastAsiaTheme="minorEastAsia"/>
          <w:b w:val="0"/>
          <w:sz w:val="22"/>
          <w:szCs w:val="22"/>
          <w:lang w:eastAsia="ru-RU"/>
        </w:rPr>
      </w:pPr>
      <w:r/>
      <w:hyperlink w:tooltip="#_Toc2762762" w:anchor="_Toc2762762" w:history="1">
        <w:r>
          <w:rPr>
            <w:rStyle w:val="1231"/>
            <w:rFonts w:ascii="Times New Roman" w:hAnsi="Times New Roman"/>
          </w:rPr>
          <w:t xml:space="preserve">3 Характеристики объекта автоматизации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_Toc2762762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11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</w:p>
    <w:p>
      <w:pPr>
        <w:pStyle w:val="1239"/>
        <w:rPr>
          <w:rFonts w:ascii="Times New Roman" w:hAnsi="Times New Roman" w:eastAsiaTheme="minorEastAsia"/>
          <w:b w:val="0"/>
          <w:sz w:val="22"/>
          <w:szCs w:val="22"/>
          <w:lang w:eastAsia="ru-RU"/>
        </w:rPr>
      </w:pPr>
      <w:r/>
      <w:hyperlink w:tooltip="#_Toc2762763" w:anchor="_Toc2762763" w:history="1">
        <w:r>
          <w:rPr>
            <w:rStyle w:val="1231"/>
            <w:rFonts w:ascii="Times New Roman" w:hAnsi="Times New Roman"/>
          </w:rPr>
          <w:t xml:space="preserve">4 Требования к системе в целом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_Toc2762763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12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64" w:anchor="_Toc2762764" w:history="1">
        <w:r>
          <w:rPr>
            <w:rStyle w:val="1231"/>
            <w:rFonts w:ascii="Times New Roman" w:hAnsi="Times New Roman"/>
          </w:rPr>
          <w:t xml:space="preserve">4.1 Требования к структуре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_Toc2762764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12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65" w:anchor="_Toc2762765" w:history="1">
        <w:r>
          <w:rPr>
            <w:rStyle w:val="1231"/>
            <w:rFonts w:ascii="Times New Roman" w:hAnsi="Times New Roman"/>
          </w:rPr>
          <w:t xml:space="preserve">4.2 Требования к режимам функционирования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_Toc2762765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13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66" w:anchor="_Toc2762766" w:history="1">
        <w:r>
          <w:rPr>
            <w:rStyle w:val="1231"/>
            <w:rFonts w:ascii="Times New Roman" w:hAnsi="Times New Roman"/>
          </w:rPr>
          <w:t xml:space="preserve">4.3 Требования к информационному обмену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_Toc2762766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14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67" w:anchor="_Toc2762767" w:history="1">
        <w:r>
          <w:rPr>
            <w:rStyle w:val="1231"/>
            <w:rFonts w:ascii="Times New Roman" w:hAnsi="Times New Roman"/>
          </w:rPr>
          <w:t xml:space="preserve">4.4 Требования к мониторингу и диагностированию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_Toc2762767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15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68" w:anchor="_Toc2762768" w:history="1">
        <w:r>
          <w:rPr>
            <w:rStyle w:val="1231"/>
            <w:rFonts w:ascii="Times New Roman" w:hAnsi="Times New Roman"/>
          </w:rPr>
          <w:t xml:space="preserve">4.5 Требования к развитию и модернизации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_Toc2762768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19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69" w:anchor="_Toc2762769" w:history="1">
        <w:r>
          <w:rPr>
            <w:rStyle w:val="1231"/>
            <w:rFonts w:ascii="Times New Roman" w:hAnsi="Times New Roman"/>
          </w:rPr>
          <w:t xml:space="preserve">4.6 Требования к численности, квалификации персонала ИС и режиму его работы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_Toc2762769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20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70" w:anchor="_Toc2762770" w:history="1">
        <w:r>
          <w:rPr>
            <w:rStyle w:val="1231"/>
            <w:rFonts w:ascii="Times New Roman" w:hAnsi="Times New Roman"/>
          </w:rPr>
          <w:t xml:space="preserve">4.7 Требования к показателям назначения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_Toc2762770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20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71" w:anchor="_Toc2762771" w:history="1">
        <w:r>
          <w:rPr>
            <w:rStyle w:val="1231"/>
            <w:rFonts w:ascii="Times New Roman" w:hAnsi="Times New Roman"/>
          </w:rPr>
          <w:t xml:space="preserve">4.8 Требования к обеспечению надёжности ИС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_Toc2762771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22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72" w:anchor="_Toc2762772" w:history="1">
        <w:r>
          <w:rPr>
            <w:rStyle w:val="1231"/>
            <w:rFonts w:ascii="Times New Roman" w:hAnsi="Times New Roman"/>
          </w:rPr>
          <w:t xml:space="preserve">4.9 Требования к безопасности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_Toc2762772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24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73" w:anchor="_Toc2762773" w:history="1">
        <w:r>
          <w:rPr>
            <w:rStyle w:val="1231"/>
            <w:rFonts w:ascii="Times New Roman" w:hAnsi="Times New Roman"/>
          </w:rPr>
          <w:t xml:space="preserve">4.10 Требования к эргономике и технической эстетике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_Toc2762773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24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74" w:anchor="_Toc2762774" w:history="1">
        <w:r>
          <w:rPr>
            <w:rStyle w:val="1231"/>
            <w:rFonts w:ascii="Times New Roman" w:hAnsi="Times New Roman"/>
          </w:rPr>
          <w:t xml:space="preserve">4.11 Требования к эксплуатации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_Toc2762774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25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75" w:anchor="_Toc2762775" w:history="1">
        <w:r>
          <w:rPr>
            <w:rStyle w:val="1231"/>
            <w:rFonts w:ascii="Times New Roman" w:hAnsi="Times New Roman"/>
          </w:rPr>
          <w:t xml:space="preserve">4.12 Требования к защите информации от несанкционированного доступа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_Toc2762775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26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76" w:anchor="_Toc2762776" w:history="1">
        <w:r>
          <w:rPr>
            <w:rStyle w:val="1231"/>
            <w:rFonts w:ascii="Times New Roman" w:hAnsi="Times New Roman"/>
          </w:rPr>
          <w:t xml:space="preserve">4.13 Требования по сохранности информации при авариях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_Toc2762776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26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77" w:anchor="_Toc2762777" w:history="1">
        <w:r>
          <w:rPr>
            <w:rStyle w:val="1231"/>
            <w:rFonts w:ascii="Times New Roman" w:hAnsi="Times New Roman"/>
          </w:rPr>
          <w:t xml:space="preserve">4.14 Требования к защите от влияния внешних воздействий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_Toc2762777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28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78" w:anchor="_Toc2762778" w:history="1">
        <w:r>
          <w:rPr>
            <w:rStyle w:val="1231"/>
            <w:rFonts w:ascii="Times New Roman" w:hAnsi="Times New Roman"/>
          </w:rPr>
          <w:t xml:space="preserve">4.15 Требования к патентной чистоте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_Toc2762778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28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79" w:anchor="_Toc2762779" w:history="1">
        <w:r>
          <w:rPr>
            <w:rStyle w:val="1231"/>
            <w:rFonts w:ascii="Times New Roman" w:hAnsi="Times New Roman"/>
          </w:rPr>
          <w:t xml:space="preserve">4.16 Требования по стандартизации и унификации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_Toc2762779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28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80" w:anchor="_Toc2762780" w:history="1">
        <w:r>
          <w:rPr>
            <w:rStyle w:val="1231"/>
            <w:rFonts w:ascii="Times New Roman" w:hAnsi="Times New Roman"/>
          </w:rPr>
          <w:t xml:space="preserve">4.17 Дополнительные требования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_Toc2762780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29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1"/>
        <w:numPr>
          <w:ilvl w:val="0"/>
          <w:numId w:val="0"/>
        </w:numPr>
        <w:rPr>
          <w:rFonts w:ascii="Times New Roman" w:hAnsi="Times New Roman" w:eastAsiaTheme="minorEastAsia"/>
          <w:sz w:val="28"/>
        </w:rPr>
      </w:pPr>
      <w:r/>
      <w:hyperlink w:tooltip="#_Toc2762781" w:anchor="_Toc2762781" w:history="1">
        <w:r>
          <w:rPr>
            <w:rStyle w:val="1231"/>
            <w:rFonts w:ascii="Times New Roman" w:hAnsi="Times New Roman"/>
            <w:sz w:val="28"/>
          </w:rPr>
          <w:t xml:space="preserve">4.17.1 Требования к архитектуре</w:t>
        </w:r>
        <w:r>
          <w:rPr>
            <w:rFonts w:ascii="Times New Roman" w:hAnsi="Times New Roman"/>
            <w:sz w:val="28"/>
          </w:rPr>
          <w:tab/>
        </w:r>
        <w:r>
          <w:rPr>
            <w:rFonts w:ascii="Times New Roman" w:hAnsi="Times New Roman"/>
            <w:sz w:val="28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PAGEREF _Toc2762781 \h </w:instrText>
        </w:r>
        <w:r>
          <w:rPr>
            <w:rFonts w:ascii="Times New Roman" w:hAnsi="Times New Roman"/>
            <w:sz w:val="28"/>
          </w:rPr>
        </w:r>
        <w:r>
          <w:rPr>
            <w:rFonts w:ascii="Times New Roman" w:hAnsi="Times New Roman"/>
            <w:sz w:val="28"/>
          </w:rPr>
          <w:fldChar w:fldCharType="separate"/>
        </w:r>
        <w:r>
          <w:rPr>
            <w:rFonts w:ascii="Times New Roman" w:hAnsi="Times New Roman" w:cs="Times New Roman"/>
          </w:rPr>
          <w:t xml:space="preserve">29</w:t>
        </w:r>
        <w:r>
          <w:rPr>
            <w:rFonts w:ascii="Times New Roman" w:hAnsi="Times New Roman"/>
            <w:sz w:val="28"/>
          </w:rPr>
          <w:fldChar w:fldCharType="end"/>
        </w:r>
      </w:hyperlink>
      <w:r>
        <w:rPr>
          <w:rFonts w:ascii="Times New Roman" w:hAnsi="Times New Roman" w:eastAsiaTheme="minorEastAsia"/>
          <w:sz w:val="28"/>
        </w:rPr>
      </w:r>
      <w:r>
        <w:rPr>
          <w:rFonts w:ascii="Times New Roman" w:hAnsi="Times New Roman" w:eastAsiaTheme="minorEastAsia"/>
          <w:sz w:val="28"/>
        </w:rPr>
      </w:r>
    </w:p>
    <w:p>
      <w:pPr>
        <w:pStyle w:val="1239"/>
        <w:rPr>
          <w:rFonts w:ascii="Times New Roman" w:hAnsi="Times New Roman" w:eastAsiaTheme="minorEastAsia"/>
          <w:b w:val="0"/>
          <w:sz w:val="22"/>
          <w:szCs w:val="22"/>
          <w:lang w:eastAsia="ru-RU"/>
        </w:rPr>
      </w:pPr>
      <w:r/>
      <w:hyperlink w:tooltip="#_Toc2762782" w:anchor="_Toc2762782" w:history="1">
        <w:r>
          <w:rPr>
            <w:rStyle w:val="1231"/>
            <w:rFonts w:ascii="Times New Roman" w:hAnsi="Times New Roman"/>
          </w:rPr>
          <w:t xml:space="preserve">5 Требования к функциям, выполняемым системой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_Toc2762782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32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</w:p>
    <w:p>
      <w:pPr>
        <w:pStyle w:val="1239"/>
        <w:rPr>
          <w:rFonts w:ascii="Times New Roman" w:hAnsi="Times New Roman" w:eastAsiaTheme="minorEastAsia"/>
          <w:b w:val="0"/>
          <w:sz w:val="22"/>
          <w:szCs w:val="22"/>
          <w:lang w:eastAsia="ru-RU"/>
        </w:rPr>
      </w:pPr>
      <w:r/>
      <w:hyperlink w:tooltip="#_Toc2762783" w:anchor="_Toc2762783" w:history="1">
        <w:r>
          <w:rPr>
            <w:rStyle w:val="1231"/>
            <w:rFonts w:ascii="Times New Roman" w:hAnsi="Times New Roman"/>
          </w:rPr>
          <w:t xml:space="preserve">6 Требования к видам обеспечения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_Toc2762783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34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84" w:anchor="_Toc2762784" w:history="1">
        <w:r>
          <w:rPr>
            <w:rStyle w:val="1231"/>
            <w:rFonts w:ascii="Times New Roman" w:hAnsi="Times New Roman"/>
          </w:rPr>
          <w:t xml:space="preserve">6.1 Требования к математическому обеспечению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_Toc2762784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34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85" w:anchor="_Toc2762785" w:history="1">
        <w:r>
          <w:rPr>
            <w:rStyle w:val="1231"/>
            <w:rFonts w:ascii="Times New Roman" w:hAnsi="Times New Roman"/>
          </w:rPr>
          <w:t xml:space="preserve">6.2 Требования к информационному обеспечению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_Toc2762785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34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86" w:anchor="_Toc2762786" w:history="1">
        <w:r>
          <w:rPr>
            <w:rStyle w:val="1231"/>
            <w:rFonts w:ascii="Times New Roman" w:hAnsi="Times New Roman"/>
          </w:rPr>
          <w:t xml:space="preserve">6.3 Требования к лингвистическому обеспечению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_Toc2762786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34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87" w:anchor="_Toc2762787" w:history="1">
        <w:r>
          <w:rPr>
            <w:rStyle w:val="1231"/>
            <w:rFonts w:ascii="Times New Roman" w:hAnsi="Times New Roman"/>
          </w:rPr>
          <w:t xml:space="preserve">6.4 Требования к программному обеспечению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_Toc2762787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35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88" w:anchor="_Toc2762788" w:history="1">
        <w:r>
          <w:rPr>
            <w:rStyle w:val="1231"/>
            <w:rFonts w:ascii="Times New Roman" w:hAnsi="Times New Roman"/>
          </w:rPr>
          <w:t xml:space="preserve">6.5 Требования к техническому обеспечению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_Toc2762788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38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89" w:anchor="_Toc2762789" w:history="1">
        <w:r>
          <w:rPr>
            <w:rStyle w:val="1231"/>
            <w:rFonts w:ascii="Times New Roman" w:hAnsi="Times New Roman"/>
          </w:rPr>
          <w:t xml:space="preserve">6.6 Требования к метрологическому обеспечению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_Toc2762789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40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90" w:anchor="_Toc2762790" w:history="1">
        <w:r>
          <w:rPr>
            <w:rStyle w:val="1231"/>
            <w:rFonts w:ascii="Times New Roman" w:hAnsi="Times New Roman"/>
          </w:rPr>
          <w:t xml:space="preserve">6.7 Требования к организационному обеспечению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_Toc2762790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41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91" w:anchor="_Toc2762791" w:history="1">
        <w:r>
          <w:rPr>
            <w:rStyle w:val="1231"/>
            <w:rFonts w:ascii="Times New Roman" w:hAnsi="Times New Roman"/>
          </w:rPr>
          <w:t xml:space="preserve">6.8 Требования к методическому обеспечению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_Toc2762791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41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92" w:anchor="_Toc2762792" w:history="1">
        <w:r>
          <w:rPr>
            <w:rStyle w:val="1231"/>
            <w:rFonts w:ascii="Times New Roman" w:hAnsi="Times New Roman"/>
          </w:rPr>
          <w:t xml:space="preserve">6.9 Требования к прочим видам обеспечения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_Toc2762792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42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39"/>
        <w:rPr>
          <w:rFonts w:ascii="Times New Roman" w:hAnsi="Times New Roman" w:eastAsiaTheme="minorEastAsia"/>
          <w:b w:val="0"/>
          <w:sz w:val="22"/>
          <w:szCs w:val="22"/>
          <w:lang w:eastAsia="ru-RU"/>
        </w:rPr>
      </w:pPr>
      <w:r/>
      <w:hyperlink w:tooltip="#_Toc2762793" w:anchor="_Toc2762793" w:history="1">
        <w:r>
          <w:rPr>
            <w:rStyle w:val="1231"/>
            <w:rFonts w:ascii="Times New Roman" w:hAnsi="Times New Roman"/>
          </w:rPr>
          <w:t xml:space="preserve">7 Состав и содержание работ по созданию (развитию) системы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_Toc2762793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43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</w:p>
    <w:p>
      <w:pPr>
        <w:pStyle w:val="1239"/>
        <w:rPr>
          <w:rFonts w:ascii="Times New Roman" w:hAnsi="Times New Roman" w:eastAsiaTheme="minorEastAsia"/>
          <w:b w:val="0"/>
          <w:sz w:val="22"/>
          <w:szCs w:val="22"/>
          <w:lang w:eastAsia="ru-RU"/>
        </w:rPr>
      </w:pPr>
      <w:r/>
      <w:hyperlink w:tooltip="#_Toc2762794" w:anchor="_Toc2762794" w:history="1">
        <w:r>
          <w:rPr>
            <w:rStyle w:val="1231"/>
            <w:rFonts w:ascii="Times New Roman" w:hAnsi="Times New Roman"/>
          </w:rPr>
          <w:t xml:space="preserve">8 Порядок контроля и приемки системы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_Toc2762794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45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95" w:anchor="_Toc2762795" w:history="1">
        <w:r>
          <w:rPr>
            <w:rStyle w:val="1231"/>
            <w:rFonts w:ascii="Times New Roman" w:hAnsi="Times New Roman"/>
          </w:rPr>
          <w:t xml:space="preserve">8.1 Общие требования к порядку контроля и приемки ИС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_Toc2762795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45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96" w:anchor="_Toc2762796" w:history="1">
        <w:r>
          <w:rPr>
            <w:rStyle w:val="1231"/>
            <w:rFonts w:ascii="Times New Roman" w:hAnsi="Times New Roman"/>
          </w:rPr>
          <w:t xml:space="preserve">8.2 Предварительные испытания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_Toc2762796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46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97" w:anchor="_Toc2762797" w:history="1">
        <w:r>
          <w:rPr>
            <w:rStyle w:val="1231"/>
            <w:rFonts w:ascii="Times New Roman" w:hAnsi="Times New Roman"/>
          </w:rPr>
          <w:t xml:space="preserve">8.3 Опытная эксплуатация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_Toc2762797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47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798" w:anchor="_Toc2762798" w:history="1">
        <w:r>
          <w:rPr>
            <w:rStyle w:val="1231"/>
            <w:rFonts w:ascii="Times New Roman" w:hAnsi="Times New Roman"/>
          </w:rPr>
          <w:t xml:space="preserve">8.4 Приемочные испытания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_Toc2762798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48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39"/>
        <w:rPr>
          <w:rFonts w:ascii="Times New Roman" w:hAnsi="Times New Roman" w:eastAsiaTheme="minorEastAsia"/>
          <w:b w:val="0"/>
          <w:sz w:val="22"/>
          <w:szCs w:val="22"/>
          <w:lang w:eastAsia="ru-RU"/>
        </w:rPr>
      </w:pPr>
      <w:r/>
      <w:hyperlink w:tooltip="#_Toc2762799" w:anchor="_Toc2762799" w:history="1">
        <w:r>
          <w:rPr>
            <w:rStyle w:val="1231"/>
            <w:rFonts w:ascii="Times New Roman" w:hAnsi="Times New Roman"/>
          </w:rPr>
          <w:t xml:space="preserve">9 Требования к составу и содержанию работ по подготовке объекта автоматизации к вводу системы в действие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_Toc2762799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50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</w:p>
    <w:p>
      <w:pPr>
        <w:pStyle w:val="1239"/>
        <w:rPr>
          <w:rFonts w:ascii="Times New Roman" w:hAnsi="Times New Roman" w:eastAsiaTheme="minorEastAsia"/>
          <w:b w:val="0"/>
          <w:sz w:val="22"/>
          <w:szCs w:val="22"/>
          <w:lang w:eastAsia="ru-RU"/>
        </w:rPr>
      </w:pPr>
      <w:r/>
      <w:hyperlink w:tooltip="#_Toc2762800" w:anchor="_Toc2762800" w:history="1">
        <w:r>
          <w:rPr>
            <w:rStyle w:val="1231"/>
            <w:rFonts w:ascii="Times New Roman" w:hAnsi="Times New Roman"/>
          </w:rPr>
          <w:t xml:space="preserve">10 Требования к документированию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_Toc2762800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52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801" w:anchor="_Toc2762801" w:history="1">
        <w:r>
          <w:rPr>
            <w:rStyle w:val="1231"/>
            <w:rFonts w:ascii="Times New Roman" w:hAnsi="Times New Roman"/>
          </w:rPr>
          <w:t xml:space="preserve">10.1 Общие требования к документированию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_Toc2762801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52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40"/>
        <w:rPr>
          <w:rFonts w:ascii="Times New Roman" w:hAnsi="Times New Roman" w:eastAsiaTheme="minorEastAsia"/>
          <w:sz w:val="22"/>
          <w:szCs w:val="22"/>
        </w:rPr>
      </w:pPr>
      <w:r/>
      <w:hyperlink w:tooltip="#_Toc2762802" w:anchor="_Toc2762802" w:history="1">
        <w:r>
          <w:rPr>
            <w:rStyle w:val="1231"/>
            <w:rFonts w:ascii="Times New Roman" w:hAnsi="Times New Roman"/>
          </w:rPr>
          <w:t xml:space="preserve">10.2 Требования к документированию сервисно-ресурсной модели ИС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_Toc2762802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55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sz w:val="22"/>
          <w:szCs w:val="22"/>
        </w:rPr>
      </w:r>
      <w:r>
        <w:rPr>
          <w:rFonts w:ascii="Times New Roman" w:hAnsi="Times New Roman" w:eastAsiaTheme="minorEastAsia"/>
          <w:sz w:val="22"/>
          <w:szCs w:val="22"/>
        </w:rPr>
      </w:r>
    </w:p>
    <w:p>
      <w:pPr>
        <w:pStyle w:val="1239"/>
        <w:rPr>
          <w:rFonts w:ascii="Times New Roman" w:hAnsi="Times New Roman" w:eastAsiaTheme="minorEastAsia"/>
          <w:b w:val="0"/>
          <w:sz w:val="22"/>
          <w:szCs w:val="22"/>
          <w:lang w:eastAsia="ru-RU"/>
        </w:rPr>
      </w:pPr>
      <w:r/>
      <w:hyperlink w:tooltip="#_Toc2762803" w:anchor="_Toc2762803" w:history="1">
        <w:r>
          <w:rPr>
            <w:rStyle w:val="1231"/>
            <w:rFonts w:ascii="Times New Roman" w:hAnsi="Times New Roman"/>
          </w:rPr>
          <w:t xml:space="preserve">11 Источники разработки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PAGEREF _Toc2762803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58</w:t>
        </w:r>
        <w:r>
          <w:rPr>
            <w:rFonts w:ascii="Times New Roman" w:hAnsi="Times New Roman"/>
          </w:rPr>
          <w:fldChar w:fldCharType="end"/>
        </w:r>
      </w:hyperlink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  <w:r>
        <w:rPr>
          <w:rFonts w:ascii="Times New Roman" w:hAnsi="Times New Roman" w:eastAsiaTheme="minorEastAsia"/>
          <w:b w:val="0"/>
          <w:sz w:val="22"/>
          <w:szCs w:val="22"/>
          <w:lang w:eastAsia="ru-RU"/>
        </w:rPr>
      </w:r>
    </w:p>
    <w:p>
      <w:r>
        <w:fldChar w:fldCharType="end"/>
      </w:r>
      <w:r/>
    </w:p>
    <w:p>
      <w:pPr>
        <w:pStyle w:val="1232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  <w:t xml:space="preserve">Перечень таблиц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right" w:pos="9627" w:leader="dot"/>
        </w:tabs>
        <w:rPr>
          <w:color w:val="auto"/>
          <w:sz w:val="22"/>
          <w:szCs w:val="22"/>
        </w:rPr>
      </w:pPr>
      <w:r>
        <w:fldChar w:fldCharType="begin"/>
      </w:r>
      <w:r>
        <w:instrText xml:space="preserve"> TOC \h \z \c "Табл." </w:instrText>
      </w:r>
      <w:r>
        <w:fldChar w:fldCharType="separate"/>
      </w:r>
      <w:hyperlink w:tooltip="#_Toc450827224" w:anchor="_Toc450827224" w:history="1">
        <w:r>
          <w:t xml:space="preserve">Таблица 1. Стадии и этапы работ по созданию ИС</w:t>
        </w:r>
        <w:r>
          <w:tab/>
        </w:r>
        <w:r>
          <w:fldChar w:fldCharType="begin"/>
        </w:r>
        <w:r>
          <w:instrText xml:space="preserve"> PAGEREF _Toc450827224 \h </w:instrText>
        </w:r>
        <w:r>
          <w:fldChar w:fldCharType="separate"/>
        </w:r>
        <w:r>
          <w:t xml:space="preserve">43</w:t>
        </w:r>
        <w:r>
          <w:fldChar w:fldCharType="end"/>
        </w:r>
      </w:hyperlink>
      <w:r>
        <w:rPr>
          <w:color w:val="auto"/>
          <w:sz w:val="22"/>
          <w:szCs w:val="22"/>
        </w:rPr>
      </w:r>
      <w:r>
        <w:rPr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color w:val="auto"/>
          <w:sz w:val="22"/>
          <w:szCs w:val="22"/>
        </w:rPr>
      </w:pPr>
      <w:r/>
      <w:hyperlink w:tooltip="#_Toc450827225" w:anchor="_Toc450827225" w:history="1">
        <w:r>
          <w:t xml:space="preserve">Таблица 2. Перечень технической документации</w:t>
        </w:r>
        <w:r>
          <w:tab/>
        </w:r>
        <w:r>
          <w:fldChar w:fldCharType="begin"/>
        </w:r>
        <w:r>
          <w:instrText xml:space="preserve"> PAGEREF _Toc450827225 \h </w:instrText>
        </w:r>
        <w:r>
          <w:fldChar w:fldCharType="separate"/>
        </w:r>
        <w:r>
          <w:t xml:space="preserve">53</w:t>
        </w:r>
        <w:r>
          <w:fldChar w:fldCharType="end"/>
        </w:r>
      </w:hyperlink>
      <w:r>
        <w:rPr>
          <w:color w:val="auto"/>
          <w:sz w:val="22"/>
          <w:szCs w:val="22"/>
        </w:rPr>
      </w:r>
      <w:r>
        <w:rPr>
          <w:color w:val="auto"/>
          <w:sz w:val="22"/>
          <w:szCs w:val="22"/>
        </w:rPr>
      </w:r>
    </w:p>
    <w:p>
      <w:pPr>
        <w:tabs>
          <w:tab w:val="right" w:pos="9627" w:leader="dot"/>
        </w:tabs>
        <w:rPr>
          <w:color w:val="auto"/>
          <w:sz w:val="22"/>
          <w:szCs w:val="22"/>
        </w:rPr>
      </w:pPr>
      <w:r/>
      <w:hyperlink w:tooltip="#_Toc450827226" w:anchor="_Toc450827226" w:history="1">
        <w:r>
          <w:t xml:space="preserve">Таблица 3. Перечень рабочей документации</w:t>
        </w:r>
        <w:r>
          <w:tab/>
        </w:r>
        <w:r>
          <w:fldChar w:fldCharType="begin"/>
        </w:r>
        <w:r>
          <w:instrText xml:space="preserve"> PAGEREF _Toc450827226 \h </w:instrText>
        </w:r>
        <w:r>
          <w:fldChar w:fldCharType="separate"/>
        </w:r>
        <w:r>
          <w:t xml:space="preserve">53</w:t>
        </w:r>
        <w:r>
          <w:fldChar w:fldCharType="end"/>
        </w:r>
      </w:hyperlink>
      <w:r>
        <w:rPr>
          <w:color w:val="auto"/>
          <w:sz w:val="22"/>
          <w:szCs w:val="22"/>
        </w:rPr>
      </w:r>
      <w:r>
        <w:rPr>
          <w:color w:val="auto"/>
          <w:sz w:val="22"/>
          <w:szCs w:val="22"/>
        </w:rPr>
      </w:r>
    </w:p>
    <w:p>
      <w:pPr>
        <w:pStyle w:val="1308"/>
      </w:pPr>
      <w:r>
        <w:fldChar w:fldCharType="end"/>
      </w:r>
      <w:r/>
    </w:p>
    <w:p>
      <w:pPr>
        <w:pStyle w:val="123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рисунков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66"/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\h \z \c "Рис." </w:instrText>
      </w:r>
      <w:r>
        <w:rPr>
          <w:b/>
          <w:bCs/>
        </w:rP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rPr>
          <w:b/>
          <w:bCs/>
        </w:rPr>
        <w:fldChar w:fldCharType="end"/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1232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  <w:t xml:space="preserve">Перечень сокращений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29"/>
        <w:gridCol w:w="6198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6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Сокращение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8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Полное наименование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АСО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Активное сетевое оборудование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БД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База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БПО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ИС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Информационная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КТС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Комплекс технических средств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КЭ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Конфигурационный элемент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ЛВС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Локальная вычислительная сеть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НПА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Нормативно-правовой акт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ОС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Операционная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ОЭ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Опытная эксплуатация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ППО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ПО ИС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Программное обеспечение, включающее в себя СПО, БПО, ППО, ПО СУБД, сервисное, а также прочее ПО, необходимое и достаточное для функционирования и администрирования ИС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ПАК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Программно-аппаратный комплекс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П</w:t>
            </w:r>
            <w:r>
              <w:t xml:space="preserve">и</w:t>
            </w:r>
            <w:r>
              <w:t xml:space="preserve">М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Программа и методика испытаний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ПЭиТО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Порядок эксплуатации и технического обслуживания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РК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t xml:space="preserve">Резервное копирование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СИО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Системы инженерного обеспечения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СПО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СРМ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Сервисно-ресурсная модель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СУБД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Система управления базами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СУЭ ФК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Система управления эксплуатацией ФК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СХД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Система хранения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ТЗ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Техническое задание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ФАП ФК</w:t>
            </w:r>
            <w:r/>
          </w:p>
        </w:tc>
        <w:tc>
          <w:tcPr>
            <w:shd w:val="clear" w:color="auto" w:fill="auto"/>
            <w:tcW w:w="6282" w:type="dxa"/>
            <w:textDirection w:val="lrTb"/>
            <w:noWrap w:val="false"/>
          </w:tcPr>
          <w:p>
            <w:r>
              <w:t xml:space="preserve">Фонд алгоритмов и программ Федерального казначейства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ЦОД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Центр обработки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69" w:type="dxa"/>
            <w:vAlign w:val="center"/>
            <w:textDirection w:val="lrTb"/>
            <w:noWrap w:val="false"/>
          </w:tcPr>
          <w:p>
            <w:r>
              <w:t xml:space="preserve">ЧТЗ</w:t>
            </w:r>
            <w:r/>
          </w:p>
        </w:tc>
        <w:tc>
          <w:tcPr>
            <w:shd w:val="clear" w:color="auto" w:fill="auto"/>
            <w:tcW w:w="6282" w:type="dxa"/>
            <w:vAlign w:val="center"/>
            <w:textDirection w:val="lrTb"/>
            <w:noWrap w:val="false"/>
          </w:tcPr>
          <w:p>
            <w:r>
              <w:t xml:space="preserve">Частное техническое задание</w:t>
            </w:r>
            <w:r/>
          </w:p>
        </w:tc>
      </w:tr>
    </w:tbl>
    <w:p>
      <w:pPr>
        <w:pStyle w:val="123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терминов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3"/>
        <w:gridCol w:w="6194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термина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Определение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Коммерческое или бесплатное программное обеспечение, необходимое для функционирования системы, </w:t>
            </w:r>
            <w:r>
              <w:t xml:space="preserve">используемое в составе систем ФК без изменения кода поставщика. Базисное ПО не решает конкретные практические задачи, а лишь обеспечивает работу ППО, предоставляя инструментарий и переиспользуемый, не привязанный к конкретным прикладным задачам функционал.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Информационная система 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Совокупность содержащейся </w:t>
            </w:r>
            <w:r>
              <w:t xml:space="preserve">в базах,</w:t>
            </w:r>
            <w:r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Программное обеспечение, предназначенное для выполнения определённых задач и </w:t>
            </w:r>
            <w:r>
              <w:t xml:space="preserve">рассчитанн</w:t>
            </w:r>
            <w:r>
              <w:t xml:space="preserve">ое</w:t>
            </w:r>
            <w:r>
              <w:t xml:space="preserve">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Персонал ИС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Лица, отвечающие за эксплуатацию ИС.</w:t>
            </w:r>
            <w:r/>
          </w:p>
        </w:tc>
      </w:tr>
      <w:tr>
        <w:tblPrEx/>
        <w:trPr>
          <w:trHeight w:val="278"/>
        </w:trPr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Пользователи ИС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Физические и юридические лица, являющиеся пользователями сервисов, предоставляемых ИС.</w:t>
            </w:r>
            <w:r/>
          </w:p>
        </w:tc>
      </w:tr>
      <w:tr>
        <w:tblPrEx/>
        <w:trPr>
          <w:trHeight w:val="277"/>
        </w:trPr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Исполнитель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Юридическое лицо, которое в рамках заключенного контракта исполняет определенные работы или оказывает услуги.</w:t>
            </w:r>
            <w:r/>
          </w:p>
        </w:tc>
      </w:tr>
      <w:tr>
        <w:tblPrEx/>
        <w:trPr/>
        <w:tc>
          <w:tcPr>
            <w:shd w:val="clear" w:color="auto" w:fill="auto"/>
            <w:tcW w:w="3472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  <w:tc>
          <w:tcPr>
            <w:shd w:val="clear" w:color="auto" w:fill="auto"/>
            <w:tcW w:w="6279" w:type="dxa"/>
            <w:vAlign w:val="center"/>
            <w:textDirection w:val="lrTb"/>
            <w:noWrap w:val="false"/>
          </w:tcPr>
          <w:p>
            <w:r>
              <w:t xml:space="preserve">Комплекс программ, которые обесп</w:t>
            </w:r>
            <w:r>
              <w:t xml:space="preserve">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</w:t>
            </w:r>
            <w:r>
              <w:t xml:space="preserve">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  <w:r/>
          </w:p>
        </w:tc>
      </w:tr>
    </w:tbl>
    <w:p>
      <w:pPr>
        <w:pStyle w:val="1220"/>
      </w:pPr>
      <w:r/>
      <w:r/>
    </w:p>
    <w:p>
      <w:pPr>
        <w:pStyle w:val="1220"/>
      </w:pPr>
      <w:r/>
      <w:r/>
    </w:p>
    <w:p>
      <w:pPr>
        <w:pStyle w:val="1220"/>
      </w:pPr>
      <w:r/>
      <w:r/>
    </w:p>
    <w:p>
      <w:pPr>
        <w:pStyle w:val="1220"/>
      </w:pPr>
      <w:r/>
      <w:r/>
    </w:p>
    <w:p>
      <w:pPr>
        <w:pStyle w:val="1220"/>
      </w:pPr>
      <w:r/>
      <w:r/>
    </w:p>
    <w:p>
      <w:pPr>
        <w:pStyle w:val="1220"/>
      </w:pPr>
      <w:r/>
      <w:r/>
    </w:p>
    <w:p>
      <w:pPr>
        <w:pStyle w:val="1203"/>
        <w:numPr>
          <w:ilvl w:val="0"/>
          <w:numId w:val="0"/>
        </w:numPr>
        <w:ind w:left="709"/>
        <w:tabs>
          <w:tab w:val="left" w:pos="708" w:leader="none"/>
        </w:tabs>
      </w:pPr>
      <w:r>
        <w:t xml:space="preserve">Перечень ссылочных документов</w:t>
      </w:r>
      <w:r/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31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31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31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31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310"/>
              <w:numPr>
                <w:ilvl w:val="0"/>
                <w:numId w:val="3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310"/>
              <w:numPr>
                <w:ilvl w:val="0"/>
                <w:numId w:val="3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310"/>
              <w:numPr>
                <w:ilvl w:val="0"/>
                <w:numId w:val="3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310"/>
              <w:numPr>
                <w:ilvl w:val="0"/>
                <w:numId w:val="3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310"/>
              <w:numPr>
                <w:ilvl w:val="0"/>
                <w:numId w:val="35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310"/>
            </w:pPr>
            <w:r/>
            <w:r/>
          </w:p>
        </w:tc>
      </w:tr>
    </w:tbl>
    <w:p>
      <w:r/>
      <w:r/>
    </w:p>
    <w:p>
      <w:pPr>
        <w:pStyle w:val="1203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</w:r>
      <w:bookmarkStart w:id="4" w:name="_Toc2762758"/>
      <w:r/>
      <w:bookmarkStart w:id="5" w:name="_Toc478556801"/>
      <w:r>
        <w:rPr>
          <w:rFonts w:ascii="Times New Roman" w:hAnsi="Times New Roman"/>
        </w:rPr>
        <w:t xml:space="preserve">Общие положения</w:t>
      </w:r>
      <w:bookmarkEnd w:id="4"/>
      <w:r/>
      <w:bookmarkEnd w:id="5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3"/>
        <w:rPr>
          <w:rStyle w:val="1293"/>
        </w:rPr>
      </w:pPr>
      <w:r>
        <w:rPr>
          <w:rStyle w:val="1293"/>
        </w:rPr>
        <w:t xml:space="preserve">В настоящем разделе указывают: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полное наименование системы и ее условное обозначение;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номер государственного контракта;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наименование предприятий (объединений) разработчика и заказчика (пользователя) системы и их реквизиты;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перечень документов, на основании которых создается система, кем и когда утверждены эти документы;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плановые сроки начала и окончания работ по созданию системы (частей системы);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сведения об источниках и порядке финансирования работ;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порядок оформления и предъявления заказчику результатов работ по созданию системы, изготовлению и наладке отдельных средств (технических, программных, информационных) и программно-технических (программно-методических) комплексов системы.</w:t>
      </w:r>
      <w:r>
        <w:rPr>
          <w:rStyle w:val="1293"/>
        </w:rPr>
      </w:r>
      <w:r>
        <w:rPr>
          <w:rStyle w:val="1293"/>
        </w:rPr>
      </w:r>
    </w:p>
    <w:p>
      <w:pPr>
        <w:pStyle w:val="1203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</w:r>
      <w:bookmarkStart w:id="6" w:name="_Toc2762759"/>
      <w:r/>
      <w:bookmarkStart w:id="7" w:name="_Toc478556802"/>
      <w:r>
        <w:rPr>
          <w:rFonts w:ascii="Times New Roman" w:hAnsi="Times New Roman"/>
        </w:rPr>
        <w:t xml:space="preserve">Назначение и цели создания (развития) системы</w:t>
      </w:r>
      <w:bookmarkEnd w:id="6"/>
      <w:r/>
      <w:bookmarkEnd w:id="7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04"/>
        <w:rPr>
          <w:rFonts w:ascii="Times New Roman" w:hAnsi="Times New Roman"/>
        </w:rPr>
      </w:pPr>
      <w:r/>
      <w:bookmarkStart w:id="8" w:name="_Toc2762760"/>
      <w:r/>
      <w:bookmarkStart w:id="9" w:name="_Toc478556803"/>
      <w:r>
        <w:rPr>
          <w:rFonts w:ascii="Times New Roman" w:hAnsi="Times New Roman"/>
        </w:rPr>
        <w:t xml:space="preserve">Назначение системы</w:t>
      </w:r>
      <w:bookmarkEnd w:id="8"/>
      <w:r/>
      <w:bookmarkEnd w:id="9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  <w:rPr>
          <w:rStyle w:val="1293"/>
        </w:rPr>
      </w:pPr>
      <w:r>
        <w:rPr>
          <w:rStyle w:val="1293"/>
        </w:rPr>
        <w:t xml:space="preserve">В настоящем разделе указывают вид автоматизируемой деятельности (управление, проектирование и т. п.) и перечень объектов автоматизации (объектов), на которых предполагается ее использовать.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10" w:name="_Toc2762761"/>
      <w:r/>
      <w:bookmarkStart w:id="11" w:name="_Toc478556804"/>
      <w:r>
        <w:rPr>
          <w:rFonts w:ascii="Times New Roman" w:hAnsi="Times New Roman"/>
        </w:rPr>
        <w:t xml:space="preserve">Цели создания системы</w:t>
      </w:r>
      <w:bookmarkEnd w:id="10"/>
      <w:r/>
      <w:bookmarkEnd w:id="11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  <w:rPr>
          <w:rStyle w:val="1293"/>
        </w:rPr>
      </w:pPr>
      <w:r>
        <w:rPr>
          <w:rStyle w:val="1293"/>
        </w:rPr>
        <w:t xml:space="preserve">В настоящем разделе приводят наименования и, по возможности, треб</w:t>
      </w:r>
      <w:r>
        <w:rPr>
          <w:rStyle w:val="1293"/>
        </w:rPr>
        <w:t xml:space="preserve">уемые значения функциональных, технических, технологических, производственно-экономических или других показателей объекта автоматизации, которые должны быть достигнуты в результате создания ИС, и указывают критерии оценки достижения целей создания системы.</w:t>
      </w:r>
      <w:r>
        <w:rPr>
          <w:rStyle w:val="1293"/>
        </w:rPr>
      </w:r>
      <w:r>
        <w:rPr>
          <w:rStyle w:val="1293"/>
        </w:rPr>
      </w:r>
    </w:p>
    <w:p>
      <w:pPr>
        <w:pStyle w:val="1203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</w:r>
      <w:bookmarkStart w:id="12" w:name="_Toc2762762"/>
      <w:r/>
      <w:bookmarkStart w:id="13" w:name="_Toc478556805"/>
      <w:r>
        <w:rPr>
          <w:rFonts w:ascii="Times New Roman" w:hAnsi="Times New Roman"/>
        </w:rPr>
        <w:t xml:space="preserve">Характеристики объекта автоматизации</w:t>
      </w:r>
      <w:bookmarkEnd w:id="12"/>
      <w:r/>
      <w:bookmarkEnd w:id="13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3"/>
        <w:rPr>
          <w:rStyle w:val="1293"/>
        </w:rPr>
      </w:pPr>
      <w:r>
        <w:rPr>
          <w:rStyle w:val="1293"/>
        </w:rPr>
        <w:t xml:space="preserve">В настоящем разделе приводят: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краткие сведения об объекте автоматизации или ссылки на документы, содержащие такую информацию;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сведения об условиях эксплуатации объекта автоматизации.</w:t>
      </w:r>
      <w:r>
        <w:rPr>
          <w:rStyle w:val="1293"/>
        </w:rPr>
      </w:r>
      <w:r>
        <w:rPr>
          <w:rStyle w:val="1293"/>
        </w:rPr>
      </w:r>
    </w:p>
    <w:p>
      <w:pPr>
        <w:pStyle w:val="1223"/>
        <w:rPr>
          <w:rStyle w:val="1293"/>
        </w:rPr>
      </w:pPr>
      <w:r>
        <w:rPr>
          <w:rStyle w:val="1293"/>
        </w:rPr>
        <w:t xml:space="preserve">В случае создания ТЗ на развитие существующей системы приводят следующие сведения о ее текущем состоянии: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перечень существующих функциональных областей системы (подсистем, модулей, блоков и пр.);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перечень автоматизируемых функций, входящих </w:t>
      </w:r>
      <w:r>
        <w:rPr>
          <w:rStyle w:val="1293"/>
        </w:rPr>
        <w:t xml:space="preserve">в функциональные</w:t>
      </w:r>
      <w:r>
        <w:rPr>
          <w:rStyle w:val="1293"/>
        </w:rPr>
        <w:t xml:space="preserve"> области ИС;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краткое описание комплекса технических средств и программного обеспечения системы;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размещение компонентов системы на технологических площадках предприятия Заказчика;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краткое описание сетевого взаимодействия компонентов системы между собой и с внешними системами;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краткое описание информационного взаимодействия системы с внешними системами;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перечень реализованных процессов управления эксплуатацией системы.</w:t>
      </w:r>
      <w:r>
        <w:rPr>
          <w:rStyle w:val="1293"/>
        </w:rPr>
      </w:r>
      <w:r>
        <w:rPr>
          <w:rStyle w:val="1293"/>
        </w:rPr>
      </w:r>
    </w:p>
    <w:p>
      <w:pPr>
        <w:pStyle w:val="1203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</w:r>
      <w:bookmarkStart w:id="14" w:name="_Toc2762763"/>
      <w:r/>
      <w:bookmarkStart w:id="15" w:name="_Toc478556806"/>
      <w:r>
        <w:rPr>
          <w:rFonts w:ascii="Times New Roman" w:hAnsi="Times New Roman"/>
        </w:rPr>
        <w:t xml:space="preserve">Требования к системе в целом</w:t>
      </w:r>
      <w:bookmarkEnd w:id="14"/>
      <w:r/>
      <w:bookmarkEnd w:id="15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04"/>
        <w:rPr>
          <w:rFonts w:ascii="Times New Roman" w:hAnsi="Times New Roman"/>
        </w:rPr>
      </w:pPr>
      <w:r/>
      <w:bookmarkStart w:id="16" w:name="_Ref478127136"/>
      <w:r/>
      <w:bookmarkStart w:id="17" w:name="_Toc2762764"/>
      <w:r/>
      <w:bookmarkStart w:id="18" w:name="_Toc478556807"/>
      <w:r>
        <w:rPr>
          <w:rFonts w:ascii="Times New Roman" w:hAnsi="Times New Roman"/>
        </w:rPr>
        <w:t xml:space="preserve">Требования к структуре</w:t>
      </w:r>
      <w:bookmarkEnd w:id="16"/>
      <w:r/>
      <w:bookmarkEnd w:id="17"/>
      <w:r/>
      <w:bookmarkEnd w:id="18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ИС должна состоять из следующих подсистем (функциональных областей):</w:t>
      </w:r>
      <w:r/>
    </w:p>
    <w:p>
      <w:pPr>
        <w:pStyle w:val="1248"/>
      </w:pPr>
      <w:r>
        <w:t xml:space="preserve">Подсистема </w:t>
      </w:r>
      <w:r>
        <w:rPr>
          <w:rStyle w:val="1293"/>
        </w:rPr>
        <w:t xml:space="preserve">&lt;название Подсистемы 1&gt;</w:t>
      </w:r>
      <w:r>
        <w:t xml:space="preserve">, предназначенная для </w:t>
      </w:r>
      <w:r>
        <w:rPr>
          <w:rStyle w:val="1293"/>
        </w:rPr>
        <w:t xml:space="preserve">&lt;краткое описание назначения Подсистемы 1&gt;</w:t>
      </w:r>
      <w:r>
        <w:t xml:space="preserve">;</w:t>
      </w:r>
      <w:r/>
    </w:p>
    <w:p>
      <w:pPr>
        <w:pStyle w:val="1248"/>
      </w:pPr>
      <w:r>
        <w:t xml:space="preserve">Подсистема </w:t>
      </w:r>
      <w:r>
        <w:rPr>
          <w:rStyle w:val="1293"/>
        </w:rPr>
        <w:t xml:space="preserve">&lt;название Подсистемы 2&gt;</w:t>
      </w:r>
      <w:r>
        <w:t xml:space="preserve">, предназначенная для </w:t>
      </w:r>
      <w:r>
        <w:rPr>
          <w:rStyle w:val="1293"/>
        </w:rPr>
        <w:t xml:space="preserve">&lt;краткое описание назначения Подсистемы 2&gt;</w:t>
      </w:r>
      <w:r>
        <w:t xml:space="preserve">;</w:t>
      </w:r>
      <w:r/>
    </w:p>
    <w:p>
      <w:pPr>
        <w:pStyle w:val="1248"/>
      </w:pPr>
      <w:r>
        <w:t xml:space="preserve">…..</w:t>
      </w:r>
      <w:r/>
    </w:p>
    <w:p>
      <w:pPr>
        <w:pStyle w:val="1248"/>
      </w:pPr>
      <w:r>
        <w:t xml:space="preserve">Подсистема </w:t>
      </w:r>
      <w:r>
        <w:rPr>
          <w:rStyle w:val="1293"/>
        </w:rPr>
        <w:t xml:space="preserve">&lt;название Подсистемы N&gt;</w:t>
      </w:r>
      <w:r>
        <w:t xml:space="preserve">, предназначенная для </w:t>
      </w:r>
      <w:r>
        <w:rPr>
          <w:rStyle w:val="1293"/>
        </w:rPr>
        <w:t xml:space="preserve">&lt;краткое описание назначения Подсистемы N&gt;</w:t>
      </w:r>
      <w:r>
        <w:t xml:space="preserve">.</w:t>
      </w:r>
      <w:r/>
    </w:p>
    <w:p>
      <w:pPr>
        <w:pStyle w:val="1224"/>
        <w:rPr>
          <w:rStyle w:val="1293"/>
          <w:i w:val="0"/>
        </w:rPr>
      </w:pPr>
      <w:r>
        <w:t xml:space="preserve">Подсистема </w:t>
      </w:r>
      <w:r>
        <w:rPr>
          <w:rStyle w:val="1293"/>
        </w:rPr>
        <w:t xml:space="preserve">&lt;название Подсистемы 1&gt;</w:t>
      </w:r>
      <w:r>
        <w:rPr>
          <w:rStyle w:val="1293"/>
          <w:i w:val="0"/>
        </w:rPr>
        <w:t xml:space="preserve"> должна выполнять следующие функции:</w:t>
      </w:r>
      <w:r>
        <w:rPr>
          <w:rStyle w:val="1293"/>
          <w:i w:val="0"/>
        </w:rPr>
      </w:r>
      <w:r>
        <w:rPr>
          <w:rStyle w:val="1293"/>
          <w:i w:val="0"/>
        </w:rPr>
      </w:r>
    </w:p>
    <w:p>
      <w:pPr>
        <w:pStyle w:val="1226"/>
        <w:rPr>
          <w:rStyle w:val="1293"/>
          <w:i w:val="0"/>
        </w:rPr>
      </w:pPr>
      <w:r>
        <w:rPr>
          <w:rStyle w:val="1293"/>
        </w:rPr>
        <w:t xml:space="preserve">&lt;наименование функции 1.1&gt;,&lt;краткое описание назначения функции 1.1&gt;;</w:t>
      </w:r>
      <w:r>
        <w:rPr>
          <w:rStyle w:val="1293"/>
          <w:i w:val="0"/>
        </w:rPr>
      </w:r>
      <w:r>
        <w:rPr>
          <w:rStyle w:val="1293"/>
          <w:i w:val="0"/>
        </w:rPr>
      </w:r>
    </w:p>
    <w:p>
      <w:pPr>
        <w:pStyle w:val="1226"/>
      </w:pPr>
      <w:r>
        <w:t xml:space="preserve">&lt;</w:t>
      </w:r>
      <w:r>
        <w:rPr>
          <w:rStyle w:val="1293"/>
        </w:rPr>
        <w:t xml:space="preserve">наименование функции 1.2</w:t>
      </w:r>
      <w:r>
        <w:t xml:space="preserve">&gt;, </w:t>
      </w:r>
      <w:r>
        <w:rPr>
          <w:rStyle w:val="1293"/>
        </w:rPr>
        <w:t xml:space="preserve">&lt;краткое описание назначения функции 1.2&gt;</w:t>
      </w:r>
      <w:r>
        <w:t xml:space="preserve">;</w:t>
      </w:r>
      <w:r/>
    </w:p>
    <w:p>
      <w:pPr>
        <w:pStyle w:val="1226"/>
        <w:rPr>
          <w:rStyle w:val="1293"/>
          <w:i w:val="0"/>
        </w:rPr>
      </w:pPr>
      <w:r>
        <w:rPr>
          <w:rStyle w:val="1293"/>
          <w:i w:val="0"/>
        </w:rPr>
        <w:t xml:space="preserve">….</w:t>
      </w:r>
      <w:r>
        <w:rPr>
          <w:rStyle w:val="1293"/>
          <w:i w:val="0"/>
        </w:rPr>
      </w:r>
      <w:r>
        <w:rPr>
          <w:rStyle w:val="1293"/>
          <w:i w:val="0"/>
        </w:rPr>
      </w:r>
    </w:p>
    <w:p>
      <w:pPr>
        <w:pStyle w:val="1224"/>
      </w:pPr>
      <w:r>
        <w:t xml:space="preserve">&lt;</w:t>
      </w:r>
      <w:r>
        <w:rPr>
          <w:rStyle w:val="1293"/>
        </w:rPr>
        <w:t xml:space="preserve">наименование функции 1.M</w:t>
      </w:r>
      <w:r>
        <w:t xml:space="preserve">&gt;, </w:t>
      </w:r>
      <w:r>
        <w:rPr>
          <w:rStyle w:val="1293"/>
        </w:rPr>
        <w:t xml:space="preserve">&lt;краткое описание назначения функции 1.М&gt;</w:t>
      </w:r>
      <w:r>
        <w:t xml:space="preserve">;</w:t>
      </w:r>
      <w:r/>
    </w:p>
    <w:p>
      <w:pPr>
        <w:pStyle w:val="1224"/>
      </w:pPr>
      <w:r>
        <w:t xml:space="preserve">Подсистема &lt;</w:t>
      </w:r>
      <w:r>
        <w:rPr>
          <w:rStyle w:val="1293"/>
        </w:rPr>
        <w:t xml:space="preserve">название Подсистемы 2</w:t>
      </w:r>
      <w:r>
        <w:t xml:space="preserve">&gt; должна выполнять следующие функции:</w:t>
      </w:r>
      <w:r/>
    </w:p>
    <w:p>
      <w:pPr>
        <w:pStyle w:val="1226"/>
        <w:rPr>
          <w:rStyle w:val="1293"/>
          <w:i w:val="0"/>
        </w:rPr>
      </w:pPr>
      <w:r>
        <w:rPr>
          <w:rStyle w:val="1293"/>
          <w:i w:val="0"/>
        </w:rPr>
        <w:t xml:space="preserve">&lt;</w:t>
      </w:r>
      <w:r>
        <w:rPr>
          <w:rStyle w:val="1293"/>
        </w:rPr>
        <w:t xml:space="preserve">наименование функции 2.1</w:t>
      </w:r>
      <w:r>
        <w:rPr>
          <w:rStyle w:val="1293"/>
          <w:i w:val="0"/>
        </w:rPr>
        <w:t xml:space="preserve">&gt;</w:t>
      </w:r>
      <w:r>
        <w:rPr>
          <w:rStyle w:val="1293"/>
        </w:rPr>
        <w:t xml:space="preserve">, &lt;краткое описание назначения функции 2.1&gt;</w:t>
      </w:r>
      <w:r>
        <w:rPr>
          <w:rStyle w:val="1293"/>
          <w:i w:val="0"/>
        </w:rPr>
        <w:t xml:space="preserve">;</w:t>
      </w:r>
      <w:r>
        <w:rPr>
          <w:rStyle w:val="1293"/>
          <w:i w:val="0"/>
        </w:rPr>
      </w:r>
      <w:r>
        <w:rPr>
          <w:rStyle w:val="1293"/>
          <w:i w:val="0"/>
        </w:rPr>
      </w:r>
    </w:p>
    <w:p>
      <w:pPr>
        <w:pStyle w:val="1226"/>
      </w:pPr>
      <w:r>
        <w:t xml:space="preserve">&lt;</w:t>
      </w:r>
      <w:r>
        <w:rPr>
          <w:rStyle w:val="1293"/>
        </w:rPr>
        <w:t xml:space="preserve">наименование функции 2.2</w:t>
      </w:r>
      <w:r>
        <w:t xml:space="preserve">&gt;, </w:t>
      </w:r>
      <w:r>
        <w:rPr>
          <w:rStyle w:val="1293"/>
        </w:rPr>
        <w:t xml:space="preserve">&lt;краткое описание назначения функции 2.2&gt;</w:t>
      </w:r>
      <w:r>
        <w:t xml:space="preserve">;</w:t>
      </w:r>
      <w:r/>
    </w:p>
    <w:p>
      <w:pPr>
        <w:pStyle w:val="1226"/>
        <w:rPr>
          <w:rStyle w:val="1293"/>
          <w:i w:val="0"/>
        </w:rPr>
      </w:pPr>
      <w:r>
        <w:rPr>
          <w:rStyle w:val="1293"/>
          <w:i w:val="0"/>
        </w:rPr>
        <w:t xml:space="preserve">….</w:t>
      </w:r>
      <w:r>
        <w:rPr>
          <w:rStyle w:val="1293"/>
          <w:i w:val="0"/>
        </w:rPr>
      </w:r>
      <w:r>
        <w:rPr>
          <w:rStyle w:val="1293"/>
          <w:i w:val="0"/>
        </w:rPr>
      </w:r>
    </w:p>
    <w:p>
      <w:pPr>
        <w:pStyle w:val="1226"/>
      </w:pPr>
      <w:r>
        <w:t xml:space="preserve">&lt;</w:t>
      </w:r>
      <w:r>
        <w:rPr>
          <w:rStyle w:val="1293"/>
        </w:rPr>
        <w:t xml:space="preserve">наименование функции 2.L</w:t>
      </w:r>
      <w:r>
        <w:t xml:space="preserve">&gt;, </w:t>
      </w:r>
      <w:r>
        <w:rPr>
          <w:rStyle w:val="1293"/>
        </w:rPr>
        <w:t xml:space="preserve">&lt;краткое описание назначения функции 2.L&gt;</w:t>
      </w:r>
      <w:r>
        <w:t xml:space="preserve">;</w:t>
      </w:r>
      <w:r/>
    </w:p>
    <w:p>
      <w:pPr>
        <w:pStyle w:val="1224"/>
      </w:pPr>
      <w:r>
        <w:t xml:space="preserve">Подсистема &lt;название Подсистемы 3&gt; должна выполнять следующие функции:</w:t>
      </w:r>
      <w:r/>
    </w:p>
    <w:p>
      <w:pPr>
        <w:pStyle w:val="1277"/>
      </w:pPr>
      <w:r>
        <w:t xml:space="preserve">……</w:t>
      </w:r>
      <w:r/>
    </w:p>
    <w:p>
      <w:pPr>
        <w:pStyle w:val="1224"/>
      </w:pPr>
      <w:r>
        <w:t xml:space="preserve">Перечисленные подсистемы и функции должны быть реализованы в соответствии с требованиями раздела </w:t>
      </w:r>
      <w:r>
        <w:fldChar w:fldCharType="begin"/>
      </w:r>
      <w:r>
        <w:instrText xml:space="preserve"> REF _Ref450225126 \n \h  \* MERGEFORMAT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настоящего документа.</w:t>
      </w:r>
      <w:r/>
    </w:p>
    <w:p>
      <w:pPr>
        <w:pStyle w:val="1266"/>
        <w:rPr>
          <w:rStyle w:val="1293"/>
        </w:rPr>
      </w:pPr>
      <w:r>
        <w:rPr>
          <w:rStyle w:val="1293"/>
        </w:rPr>
        <w:t xml:space="preserve">При необходимости в аналогичном виде могут быть сформулированы требования к более низкоуровневым структурным компонентам ИС (структурным модулям, блокам и пр.)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19" w:name="_Toc2762765"/>
      <w:r/>
      <w:bookmarkStart w:id="20" w:name="_Toc478556808"/>
      <w:r>
        <w:rPr>
          <w:rFonts w:ascii="Times New Roman" w:hAnsi="Times New Roman"/>
        </w:rPr>
        <w:t xml:space="preserve">Требования к режимам функционирования</w:t>
      </w:r>
      <w:bookmarkEnd w:id="19"/>
      <w:r/>
      <w:bookmarkEnd w:id="2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В ИС должны быть предусмотрены следующие режимы функционирования:</w:t>
      </w:r>
      <w:r/>
    </w:p>
    <w:p>
      <w:pPr>
        <w:pStyle w:val="1245"/>
      </w:pPr>
      <w:r>
        <w:t xml:space="preserve">штатный режим;</w:t>
      </w:r>
      <w:r/>
    </w:p>
    <w:p>
      <w:pPr>
        <w:pStyle w:val="1245"/>
      </w:pPr>
      <w:r>
        <w:t xml:space="preserve">аварийный режим;</w:t>
      </w:r>
      <w:r/>
    </w:p>
    <w:p>
      <w:pPr>
        <w:pStyle w:val="1245"/>
      </w:pPr>
      <w:r>
        <w:t xml:space="preserve">режим технического обслуживания;</w:t>
      </w:r>
      <w:r/>
    </w:p>
    <w:p>
      <w:pPr>
        <w:pStyle w:val="1245"/>
      </w:pPr>
      <w:r>
        <w:t xml:space="preserve">режим восстановления:</w:t>
      </w:r>
      <w:r/>
    </w:p>
    <w:p>
      <w:pPr>
        <w:pStyle w:val="1246"/>
      </w:pPr>
      <w:r>
        <w:t xml:space="preserve">после сбоя;</w:t>
      </w:r>
      <w:r/>
    </w:p>
    <w:p>
      <w:pPr>
        <w:pStyle w:val="1246"/>
      </w:pPr>
      <w:r>
        <w:t xml:space="preserve">после локального отказа;</w:t>
      </w:r>
      <w:r/>
    </w:p>
    <w:p>
      <w:pPr>
        <w:pStyle w:val="1246"/>
      </w:pPr>
      <w:r>
        <w:t xml:space="preserve">после критического отказа или аварии.</w:t>
      </w:r>
      <w:r/>
    </w:p>
    <w:p>
      <w:pPr>
        <w:pStyle w:val="1224"/>
      </w:pPr>
      <w:r>
        <w:t xml:space="preserve">Основным режимом функционирования ИС является штатный. В штатном режиме должна обеспечиваться доступность всех сервисов ИС.</w:t>
      </w:r>
      <w:r/>
    </w:p>
    <w:p>
      <w:pPr>
        <w:pStyle w:val="1220"/>
        <w:rPr>
          <w:rStyle w:val="1293"/>
        </w:rPr>
      </w:pPr>
      <w:r>
        <w:rPr>
          <w:rStyle w:val="1293"/>
        </w:rPr>
        <w:t xml:space="preserve">Далее указывают требования к времени доступности сервисов, предоставляемых ИС, требования к работе ИС в часы пиковой нагрузки и т.п.</w:t>
      </w:r>
      <w:r>
        <w:rPr>
          <w:rStyle w:val="1293"/>
        </w:rPr>
      </w:r>
      <w:r>
        <w:rPr>
          <w:rStyle w:val="1293"/>
        </w:rPr>
      </w:r>
    </w:p>
    <w:p>
      <w:pPr>
        <w:pStyle w:val="1224"/>
      </w:pPr>
      <w:r>
        <w:t xml:space="preserve">Режим технического обслуживания предназначен для проведения работ по обслуживанию системы.</w:t>
      </w:r>
      <w:r/>
    </w:p>
    <w:p>
      <w:pPr>
        <w:pStyle w:val="1277"/>
        <w:rPr>
          <w:rStyle w:val="1293"/>
        </w:rPr>
      </w:pPr>
      <w:r>
        <w:rPr>
          <w:rStyle w:val="1293"/>
        </w:rPr>
        <w:t xml:space="preserve">Дал</w:t>
      </w:r>
      <w:r>
        <w:rPr>
          <w:rStyle w:val="1293"/>
        </w:rPr>
        <w:t xml:space="preserve">ее указываются требования к режиму технического обслуживания, в частности, допустима ли в настоящем режиме частичная или полная приостановка сервисов, предоставляемых пользователям системой, описывается возможное ухудшение производительности системы и т.д.</w:t>
      </w:r>
      <w:r>
        <w:rPr>
          <w:rStyle w:val="1293"/>
        </w:rPr>
      </w:r>
      <w:r>
        <w:rPr>
          <w:rStyle w:val="1293"/>
        </w:rPr>
      </w:r>
    </w:p>
    <w:p>
      <w:pPr>
        <w:pStyle w:val="1277"/>
      </w:pPr>
      <w:r>
        <w:rPr>
          <w:rStyle w:val="1293"/>
        </w:rPr>
        <w:t xml:space="preserve">В случае требования о невозможности приостановки предоставления сервисов ИС в режиме технического обслуживания, в ТЗ могут быть приве</w:t>
      </w:r>
      <w:r>
        <w:rPr>
          <w:rStyle w:val="1293"/>
        </w:rPr>
        <w:t xml:space="preserve">дены требования к техническим и организационным мерам, направленным на обеспечение предоставления сервисов в настоящем режиме (например, такие как переключение на другую площадку ЦОД, выбор окна технического обслуживания с учётом рабочей нагрузки и т.п.). </w:t>
      </w:r>
      <w:r/>
    </w:p>
    <w:p>
      <w:pPr>
        <w:pStyle w:val="1224"/>
      </w:pPr>
      <w:r>
        <w:t xml:space="preserve">Перевод ИС из штатного режима в режим технического обслуживания и обратно должен производиться эксплуатирующим персоналом с использованием средств автоматизации.</w:t>
      </w:r>
      <w:r/>
    </w:p>
    <w:p>
      <w:pPr>
        <w:pStyle w:val="1277"/>
        <w:rPr>
          <w:rStyle w:val="1293"/>
        </w:rPr>
      </w:pPr>
      <w:r>
        <w:rPr>
          <w:rStyle w:val="1293"/>
        </w:rPr>
        <w:t xml:space="preserve">Далее должны быть определены требования к переводу ИС в режим технического обслуживания и обратно, допустимые сроки функционирования ИС в режиме </w:t>
      </w:r>
      <w:r>
        <w:rPr>
          <w:rStyle w:val="1293"/>
        </w:rPr>
        <w:t xml:space="preserve">технического обслуживания,</w:t>
      </w:r>
      <w:r>
        <w:rPr>
          <w:rStyle w:val="1293"/>
        </w:rPr>
        <w:t xml:space="preserve"> и предельная длительность недоступности сервисов, предоставляемых ИС.</w:t>
      </w:r>
      <w:r>
        <w:rPr>
          <w:rStyle w:val="1293"/>
        </w:rPr>
      </w:r>
      <w:r>
        <w:rPr>
          <w:rStyle w:val="1293"/>
        </w:rPr>
      </w:r>
    </w:p>
    <w:p>
      <w:pPr>
        <w:pStyle w:val="1224"/>
      </w:pPr>
      <w:r>
        <w:t xml:space="preserve">В случае возникновения серьезных сбоев в работе, критических отказов или аварий КТС ИС она должна переводиться в аварийный режим.</w:t>
      </w:r>
      <w:r/>
    </w:p>
    <w:p>
      <w:pPr>
        <w:pStyle w:val="1224"/>
      </w:pPr>
      <w:r>
        <w:t xml:space="preserve">После перевода в аварийный режим ИС должна переводиться эксплуатирующим персоналом в режим восстановления до полного восстановления работоспособности всех предоставляемых ею сервисов.</w:t>
      </w:r>
      <w:r/>
    </w:p>
    <w:p>
      <w:pPr>
        <w:pStyle w:val="1224"/>
      </w:pPr>
      <w:r>
        <w:t xml:space="preserve">В режиме восстановления допускается ухудшение производительности ИС.</w:t>
      </w:r>
      <w:r/>
    </w:p>
    <w:p>
      <w:pPr>
        <w:pStyle w:val="1224"/>
      </w:pPr>
      <w:r>
        <w:t xml:space="preserve">Перевод ИС из режима восстановления в штатный режим должен производиться эксплуатирующим персоналом с использованием средств автоматизации.</w:t>
      </w:r>
      <w:r/>
    </w:p>
    <w:p>
      <w:pPr>
        <w:pStyle w:val="1277"/>
        <w:rPr>
          <w:rStyle w:val="1293"/>
        </w:rPr>
      </w:pPr>
      <w:r>
        <w:rPr>
          <w:rStyle w:val="1293"/>
        </w:rPr>
        <w:t xml:space="preserve">Далее должны быть приведены требования к переводу ИС в режим восстановления и обратно, допустимые сроки нахождения ИС в режиме восстановления и предельная длительность недоступности сервисов, требования к техническим и организационн</w:t>
      </w:r>
      <w:r>
        <w:rPr>
          <w:rStyle w:val="1293"/>
        </w:rPr>
        <w:t xml:space="preserve">ым решениям, обеспечивающим возможность использования резервов ИС (например, требования к переключению недоступных сервисов на резервные площадки, требования к этим площадкам и т.д.), требования к порядку восстановления работоспособности и данных ИС и т.д.</w:t>
      </w:r>
      <w:r>
        <w:rPr>
          <w:rStyle w:val="1293"/>
        </w:rPr>
      </w:r>
      <w:r>
        <w:rPr>
          <w:rStyle w:val="1293"/>
        </w:rPr>
      </w:r>
    </w:p>
    <w:p>
      <w:pPr>
        <w:pStyle w:val="1224"/>
      </w:pPr>
      <w:r>
        <w:t xml:space="preserve">Порядок действий персонала в различных режимах работы ИС должен быть описан в документах "Руководство по администрированию системы" и "Инструкция по эксплуатации".</w:t>
      </w:r>
      <w:r/>
    </w:p>
    <w:p>
      <w:pPr>
        <w:pStyle w:val="1204"/>
        <w:rPr>
          <w:rFonts w:ascii="Times New Roman" w:hAnsi="Times New Roman"/>
        </w:rPr>
      </w:pPr>
      <w:r/>
      <w:bookmarkStart w:id="21" w:name="_Toc2762766"/>
      <w:r/>
      <w:bookmarkStart w:id="22" w:name="_Toc478556809"/>
      <w:r>
        <w:rPr>
          <w:rFonts w:ascii="Times New Roman" w:hAnsi="Times New Roman"/>
        </w:rPr>
        <w:t xml:space="preserve">Требования к информационному обмену</w:t>
      </w:r>
      <w:bookmarkEnd w:id="21"/>
      <w:r/>
      <w:bookmarkEnd w:id="22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Информационная совместимость ИС с другими системами должна обеспечива</w:t>
      </w:r>
      <w:r>
        <w:t xml:space="preserve">ться за счет использования унифицированных шин обмена данными, стандартных эксплуатируемых в ФК классификаторов и информационных баз нормативно-справочной информации, а также использования в составе ИС унифицированных систем документирования и отчётности. </w:t>
      </w:r>
      <w:r/>
    </w:p>
    <w:p>
      <w:pPr>
        <w:pStyle w:val="1224"/>
      </w:pPr>
      <w:r>
        <w:t xml:space="preserve">Должно обеспечиваться логирование (обязательно с указанием структуры лог-файла и протокола лога, если это Linux/AIX/Solaris/FreeBSD – рекомендуется использовать протокол Syslog через ядро ОС, либо файл в файловой систем</w:t>
      </w:r>
      <w:r>
        <w:t xml:space="preserve">е</w:t>
      </w:r>
      <w:r>
        <w:t xml:space="preserve"> Windows со структурой, подобной Syslog), а также мониторинг взаимодействия через шину со стороны ИС.</w:t>
      </w:r>
      <w:r/>
    </w:p>
    <w:p>
      <w:pPr>
        <w:pStyle w:val="1224"/>
      </w:pPr>
      <w:r>
        <w:rPr>
          <w:bCs w:val="0"/>
          <w:szCs w:val="28"/>
        </w:rPr>
        <w:t xml:space="preserve">Должен быть обеспечен мониторинг входящих и исходящих очередей сообщений ИС при наличии межведомственного электронного взаимодействия по видам сведений.</w:t>
      </w:r>
      <w:r/>
    </w:p>
    <w:p>
      <w:pPr>
        <w:pStyle w:val="1224"/>
      </w:pPr>
      <w:r>
        <w:t xml:space="preserve">В технической документации на ИС должна быть разработана схема и таблица информационных потоков</w:t>
      </w:r>
      <w:r>
        <w:rPr>
          <w:rStyle w:val="1252"/>
        </w:rPr>
        <w:footnoteReference w:id="3"/>
      </w:r>
      <w:r>
        <w:t xml:space="preserve"> между функциональными областями ИС (подсистемами, структурными модулями), а также между компонентами ИС и смежными (внешними) системами.</w:t>
      </w:r>
      <w:r>
        <w:t xml:space="preserve"> Должен быть указан режим обмена (синхронный/асинхронный), также должен быть указан режим обмена для квитков. </w:t>
      </w:r>
      <w:r>
        <w:t xml:space="preserve">Для каждого синхронного потока должно быть обоснование и согласование возможности его использования с заказчиком.</w:t>
      </w:r>
      <w:r/>
    </w:p>
    <w:p>
      <w:pPr>
        <w:pStyle w:val="1224"/>
      </w:pPr>
      <w:r>
        <w:t xml:space="preserve">Для каждого информационного потока в технической документации на ИС должны быть определены объемно-временные характеристики передаваемой информации с указанием задействованных компонентов программного и аппаратного обеспечения ИС.</w:t>
      </w:r>
      <w:r/>
    </w:p>
    <w:p>
      <w:pPr>
        <w:pStyle w:val="1266"/>
        <w:rPr>
          <w:rStyle w:val="1293"/>
        </w:rPr>
      </w:pPr>
      <w:r>
        <w:rPr>
          <w:rStyle w:val="1293"/>
        </w:rPr>
        <w:t xml:space="preserve">Дополнительно в настоящем разделе могут приводиться: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детализованные требования к характеристикам, способам и средствам связи для информационного обмена между компонентами ИС, а также для информационного обмена между подсистемами ИС и внешними источниками и потребителями информации;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детализованные требования к совместимости на уровне перечня используемых технологий информационного обмена, протоколов и интерфейсов взаимодействия;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характеристикам, способам и средствам связи для информационного обмена с пользователями ИС и персоналом ИС.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25" w:name="_Toc2762767"/>
      <w:r/>
      <w:bookmarkStart w:id="26" w:name="_Toc478556810"/>
      <w:r>
        <w:rPr>
          <w:rFonts w:ascii="Times New Roman" w:hAnsi="Times New Roman"/>
        </w:rPr>
        <w:t xml:space="preserve">Требования к мониторингу и диагностированию</w:t>
      </w:r>
      <w:bookmarkEnd w:id="25"/>
      <w:r/>
      <w:bookmarkEnd w:id="2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rPr>
          <w:szCs w:val="24"/>
        </w:rPr>
        <w:t xml:space="preserve">Должна быть обеспечена самодиагностика и протоколирование ключевых параметров функционирования ППО ИС и предоставление доступа к данным журналов. Каждый ключев</w:t>
      </w:r>
      <w:r>
        <w:rPr>
          <w:szCs w:val="24"/>
        </w:rPr>
        <w:t xml:space="preserve">ой параметр должен иметь свою сквозную нумерацию, при некорректной отработке которого ИС должна обеспечивать запись ключевого параметра с номером ошибки в лог-файл. Перечень ключевых параметров для каждой функции должен быть определен в составе документа «</w:t>
      </w:r>
      <w:r>
        <w:rPr>
          <w:rFonts w:eastAsia="Calibri"/>
        </w:rPr>
        <w:t xml:space="preserve">Руководство по администрированию системы»</w:t>
      </w:r>
      <w:r>
        <w:rPr>
          <w:szCs w:val="24"/>
        </w:rPr>
        <w:t xml:space="preserve">.</w:t>
      </w:r>
      <w:r/>
    </w:p>
    <w:p>
      <w:pPr>
        <w:pStyle w:val="1224"/>
      </w:pPr>
      <w:r>
        <w:rPr>
          <w:szCs w:val="24"/>
        </w:rPr>
        <w:t xml:space="preserve">Должны быть разработаны сценарии мониторинга доступности сервисов и функционального мониторинга сервисов по форматам, поддерживаемыми</w:t>
      </w:r>
      <w:r>
        <w:rPr>
          <w:szCs w:val="24"/>
        </w:rPr>
        <w:t xml:space="preserve"> Системой мониторинга и отслеживания статусов сервисов компьютерной сети, серверов и сетевого оборудования, для подтверждения доступности и работоспособности путем периодического запуска указанных сценариев для автоматического функционального тестирования.</w:t>
      </w:r>
      <w:r/>
    </w:p>
    <w:p>
      <w:pPr>
        <w:pStyle w:val="1224"/>
      </w:pPr>
      <w:r>
        <w:rPr>
          <w:szCs w:val="24"/>
        </w:rPr>
        <w:t xml:space="preserve">События в ППО ИС должны протоколироваться по стандарту </w:t>
      </w:r>
      <w:r>
        <w:rPr>
          <w:szCs w:val="24"/>
          <w:lang w:val="en-US"/>
        </w:rPr>
        <w:t xml:space="preserve">Syslog</w:t>
      </w:r>
      <w:r>
        <w:rPr>
          <w:szCs w:val="24"/>
        </w:rPr>
        <w:t xml:space="preserve"> с помощью системной шины ОС. Следует предусмотреть изменения уровня протоколирования сообщений в зависимости от критичности.</w:t>
      </w:r>
      <w:r/>
    </w:p>
    <w:p>
      <w:pPr>
        <w:pStyle w:val="1224"/>
        <w:rPr>
          <w:szCs w:val="24"/>
        </w:rPr>
      </w:pPr>
      <w:r>
        <w:rPr>
          <w:szCs w:val="24"/>
        </w:rPr>
        <w:t xml:space="preserve">При возникновении аварийных ситуаций либо ошибок в программном обеспечении диагностические инструменты должны позволять сохранять полный набор информации, необходимой для идентификации проблемы.</w:t>
      </w:r>
      <w:r>
        <w:rPr>
          <w:szCs w:val="24"/>
        </w:rPr>
      </w:r>
      <w:r>
        <w:rPr>
          <w:szCs w:val="24"/>
        </w:rPr>
      </w:r>
    </w:p>
    <w:p>
      <w:pPr>
        <w:pStyle w:val="1224"/>
        <w:numPr>
          <w:ilvl w:val="0"/>
          <w:numId w:val="0"/>
        </w:numPr>
        <w:rPr>
          <w:szCs w:val="24"/>
          <w:lang w:val="en-US"/>
        </w:rPr>
      </w:pPr>
      <w:r>
        <w:rPr>
          <w:szCs w:val="24"/>
        </w:rPr>
        <w:t xml:space="preserve">Рекомендуемый</w:t>
      </w:r>
      <w:r>
        <w:rPr>
          <w:szCs w:val="24"/>
          <w:lang w:val="en-US"/>
        </w:rPr>
        <w:t xml:space="preserve"> </w:t>
      </w:r>
      <w:r>
        <w:rPr>
          <w:szCs w:val="24"/>
        </w:rPr>
        <w:t xml:space="preserve">формат</w:t>
      </w:r>
      <w:r>
        <w:rPr>
          <w:szCs w:val="24"/>
          <w:lang w:val="en-US"/>
        </w:rPr>
        <w:t xml:space="preserve"> </w:t>
      </w:r>
      <w:r>
        <w:rPr>
          <w:szCs w:val="24"/>
        </w:rPr>
        <w:t xml:space="preserve">записи</w:t>
      </w:r>
      <w:r>
        <w:rPr>
          <w:szCs w:val="24"/>
          <w:lang w:val="en-US"/>
        </w:rPr>
        <w:t xml:space="preserve"> </w:t>
      </w:r>
      <w:r>
        <w:rPr>
          <w:szCs w:val="24"/>
        </w:rPr>
        <w:t xml:space="preserve">в</w:t>
      </w:r>
      <w:r>
        <w:rPr>
          <w:szCs w:val="24"/>
          <w:lang w:val="en-US"/>
        </w:rPr>
        <w:t xml:space="preserve"> </w:t>
      </w:r>
      <w:r>
        <w:rPr>
          <w:szCs w:val="24"/>
        </w:rPr>
        <w:t xml:space="preserve">лог</w:t>
      </w:r>
      <w:r>
        <w:rPr>
          <w:szCs w:val="24"/>
          <w:lang w:val="en-US"/>
        </w:rPr>
        <w:t xml:space="preserve">-</w:t>
      </w:r>
      <w:r>
        <w:rPr>
          <w:szCs w:val="24"/>
        </w:rPr>
        <w:t xml:space="preserve">файл</w:t>
      </w:r>
      <w:r>
        <w:rPr>
          <w:szCs w:val="24"/>
          <w:lang w:val="en-US"/>
        </w:rPr>
        <w:t xml:space="preserve"> timestamp log_severity "message_text" time_to_action, </w:t>
      </w:r>
      <w:r>
        <w:rPr>
          <w:szCs w:val="24"/>
        </w:rPr>
        <w:t xml:space="preserve">где</w:t>
      </w:r>
      <w:r>
        <w:rPr>
          <w:szCs w:val="24"/>
          <w:lang w:val="en-US"/>
        </w:rPr>
        <w:t xml:space="preserve">:</w:t>
      </w:r>
      <w:r>
        <w:rPr>
          <w:szCs w:val="24"/>
          <w:lang w:val="en-US"/>
        </w:rPr>
      </w:r>
      <w:r>
        <w:rPr>
          <w:szCs w:val="24"/>
          <w:lang w:val="en-US"/>
        </w:rPr>
      </w:r>
    </w:p>
    <w:p>
      <w:pPr>
        <w:pStyle w:val="1224"/>
        <w:numPr>
          <w:ilvl w:val="0"/>
          <w:numId w:val="0"/>
        </w:numPr>
        <w:rPr>
          <w:szCs w:val="24"/>
        </w:rPr>
      </w:pPr>
      <w:r>
        <w:rPr>
          <w:szCs w:val="24"/>
        </w:rPr>
        <w:t xml:space="preserve">– timestamp – время регистрации события на сервере;</w:t>
      </w:r>
      <w:r>
        <w:rPr>
          <w:szCs w:val="24"/>
        </w:rPr>
      </w:r>
      <w:r>
        <w:rPr>
          <w:szCs w:val="24"/>
        </w:rPr>
      </w:r>
    </w:p>
    <w:p>
      <w:pPr>
        <w:pStyle w:val="1224"/>
        <w:numPr>
          <w:ilvl w:val="0"/>
          <w:numId w:val="0"/>
        </w:numPr>
        <w:rPr>
          <w:szCs w:val="24"/>
        </w:rPr>
      </w:pPr>
      <w:r>
        <w:rPr>
          <w:szCs w:val="24"/>
        </w:rPr>
        <w:t xml:space="preserve">– log_severity – уровень критичности сообщения (делится на 4 группы: DEBUG – отладочные сообщения, INFO – типовые сообщения о прохождении процесса, WARNING – есть ошибка, но скрипт/модуль еще работает, ERROR – падение скрипта/модуля);</w:t>
      </w:r>
      <w:r>
        <w:rPr>
          <w:szCs w:val="24"/>
        </w:rPr>
      </w:r>
      <w:r>
        <w:rPr>
          <w:szCs w:val="24"/>
        </w:rPr>
      </w:r>
    </w:p>
    <w:p>
      <w:pPr>
        <w:pStyle w:val="1224"/>
        <w:numPr>
          <w:ilvl w:val="0"/>
          <w:numId w:val="0"/>
        </w:numPr>
        <w:rPr>
          <w:szCs w:val="24"/>
        </w:rPr>
      </w:pPr>
      <w:r>
        <w:rPr>
          <w:szCs w:val="24"/>
        </w:rPr>
        <w:t xml:space="preserve">– message_text – текст сообщения (описание должно быть интуитивно понятное);</w:t>
      </w:r>
      <w:r>
        <w:rPr>
          <w:szCs w:val="24"/>
        </w:rPr>
      </w:r>
      <w:r>
        <w:rPr>
          <w:szCs w:val="24"/>
        </w:rPr>
      </w:r>
    </w:p>
    <w:p>
      <w:pPr>
        <w:pStyle w:val="1224"/>
        <w:numPr>
          <w:ilvl w:val="0"/>
          <w:numId w:val="0"/>
        </w:numPr>
        <w:rPr>
          <w:szCs w:val="24"/>
        </w:rPr>
      </w:pPr>
      <w:r>
        <w:rPr>
          <w:szCs w:val="24"/>
        </w:rPr>
        <w:t xml:space="preserve">– time_to_action – время, потраченное в секундах на выполнение операции (при необходимости).</w:t>
      </w:r>
      <w:r>
        <w:rPr>
          <w:szCs w:val="24"/>
        </w:rPr>
      </w:r>
      <w:r>
        <w:rPr>
          <w:szCs w:val="24"/>
        </w:rPr>
      </w:r>
    </w:p>
    <w:p>
      <w:pPr>
        <w:pStyle w:val="1224"/>
      </w:pPr>
      <w:r>
        <w:t xml:space="preserve">Должны быть определены критерии правильного (штатного) </w:t>
      </w:r>
      <w:r>
        <w:t xml:space="preserve">функционирования ИС</w:t>
      </w:r>
      <w:r>
        <w:t xml:space="preserve">, неправильного (внештатного) </w:t>
      </w:r>
      <w:r>
        <w:t xml:space="preserve">функционирования ИС</w:t>
      </w:r>
      <w:r>
        <w:t xml:space="preserve">, правила обработки информации о неправильном функционировании. Критерии и правила обработки информации должны быть описаны в составе документа «Руководство по администрированию системы».</w:t>
      </w:r>
      <w:r/>
    </w:p>
    <w:p>
      <w:pPr>
        <w:pStyle w:val="1224"/>
      </w:pPr>
      <w:r>
        <w:rPr>
          <w:szCs w:val="24"/>
        </w:rPr>
        <w:t xml:space="preserve">Должна осуществляться разработка и (или) доработка скриптов функционального мониторинга в случае изменения состава СПО, БПО и </w:t>
      </w:r>
      <w:r>
        <w:rPr>
          <w:szCs w:val="24"/>
        </w:rPr>
        <w:t xml:space="preserve">компонентов ИС</w:t>
      </w:r>
      <w:r>
        <w:rPr>
          <w:szCs w:val="24"/>
        </w:rPr>
        <w:t xml:space="preserve">, обеспечивающих функционирование сервиса, а также в случае изменения ППО.</w:t>
      </w:r>
      <w:r/>
    </w:p>
    <w:p>
      <w:pPr>
        <w:pStyle w:val="1224"/>
      </w:pPr>
      <w:r>
        <w:rPr>
          <w:szCs w:val="24"/>
        </w:rPr>
        <w:t xml:space="preserve">Время отработки всех ключевых параметров должно фиксирова</w:t>
      </w:r>
      <w:r>
        <w:rPr>
          <w:szCs w:val="24"/>
        </w:rPr>
        <w:t xml:space="preserve">ться системой в памяти, агрегироваться в периоды, настраиваемые в конфигурации, и выводиться в лог-файлы для их последующего разбора, учета и анализа Системой мониторинга и отслеживания статусов сервисов компьютерной сети, серверов и сетевого оборудования.</w:t>
      </w:r>
      <w:r/>
    </w:p>
    <w:p>
      <w:pPr>
        <w:pStyle w:val="1224"/>
      </w:pPr>
      <w:r>
        <w:rPr>
          <w:szCs w:val="24"/>
        </w:rPr>
        <w:t xml:space="preserve">Пр</w:t>
      </w:r>
      <w:r>
        <w:rPr>
          <w:szCs w:val="24"/>
        </w:rPr>
        <w:t xml:space="preserve">и наличии в составе системы внутренних очередей, реализованных на любой технологии (либо табличных, либо системы очередей приложений, БД, Базисного ПО), система должна внутренними средствами снимать данные в лог-файлы в соответствии с требованиями п.4.4.3.</w:t>
      </w:r>
      <w:r/>
    </w:p>
    <w:p>
      <w:pPr>
        <w:pStyle w:val="1224"/>
      </w:pPr>
      <w:r>
        <w:t xml:space="preserve">Должен быть создан шаблон функционального и инфраструктурного мониторинга не ниже уровня ОС (включая взаимодействия со стороны ОС с нижестоящими компонентами, такими, как СХД, СРК, ИБ, сеть) для централизованной системы мониторинга (Zabbix).</w:t>
      </w:r>
      <w:r/>
    </w:p>
    <w:p>
      <w:pPr>
        <w:pStyle w:val="1224"/>
      </w:pPr>
      <w:r>
        <w:t xml:space="preserve">Создание интеграции с централизованной системой хранения, обработки и визуализации лог-файлов, как для инфраструктуры ИС, так и для функциональной части ИС.</w:t>
      </w:r>
      <w:r/>
    </w:p>
    <w:p>
      <w:pPr>
        <w:pStyle w:val="1224"/>
      </w:pPr>
      <w:r>
        <w:t xml:space="preserve">При возникновении аварийной ситуации либо ошибки в работе ИС в системных журналах должен сохраняться полный набор информации, необходимой для идентификации проблемы и формирования сообщений об ошибке.</w:t>
      </w:r>
      <w:r/>
    </w:p>
    <w:p>
      <w:pPr>
        <w:pStyle w:val="1224"/>
      </w:pPr>
      <w:r>
        <w:t xml:space="preserve">Каждый тип сообщения об ошибке, формируемого системой, должен иметь уникальный идентификатор.</w:t>
      </w:r>
      <w:r/>
    </w:p>
    <w:p>
      <w:pPr>
        <w:pStyle w:val="1224"/>
      </w:pPr>
      <w:r>
        <w:t xml:space="preserve">В рабочей документации на ИС должна содержаться следующая информация в объеме, необходимом и достаточном для мониторинга и диагностирования функционирования системы:</w:t>
      </w:r>
      <w:r/>
    </w:p>
    <w:p>
      <w:pPr>
        <w:pStyle w:val="1245"/>
      </w:pPr>
      <w:r>
        <w:t xml:space="preserve">перечень и описание типовых аварийных ситуаций и ошибок;</w:t>
      </w:r>
      <w:r/>
    </w:p>
    <w:p>
      <w:pPr>
        <w:pStyle w:val="1245"/>
      </w:pPr>
      <w:r>
        <w:t xml:space="preserve">меры по их диагностике и устранению;</w:t>
      </w:r>
      <w:r/>
    </w:p>
    <w:p>
      <w:pPr>
        <w:pStyle w:val="1245"/>
      </w:pPr>
      <w:r>
        <w:t xml:space="preserve">полный перечень возможных сообщений об ошибках с необходимым пояснением.</w:t>
      </w:r>
      <w:r/>
    </w:p>
    <w:p>
      <w:pPr>
        <w:pStyle w:val="1224"/>
      </w:pPr>
      <w:r>
        <w:t xml:space="preserve">В рабочей документации на ИС должен быть описан процесс диагностики работоспособности всех функций ИС, включая обеспечение заданных в ТЗ показателей назначения ИС.</w:t>
      </w:r>
      <w:r/>
    </w:p>
    <w:p>
      <w:pPr>
        <w:pStyle w:val="1224"/>
      </w:pPr>
      <w:r>
        <w:t xml:space="preserve">Все значимые транзакции ИС должны иметь уникальные идентификаторы. При некорректном выполнении транзакции ИС должна записывать ошибку с идентификатором транзакции в системный журнал.</w:t>
      </w:r>
      <w:r/>
    </w:p>
    <w:p>
      <w:pPr>
        <w:pStyle w:val="1224"/>
      </w:pPr>
      <w:r>
        <w:t xml:space="preserve">Для пользователей должна обеспечиваться возможность автоматизированного создания запро</w:t>
      </w:r>
      <w:r>
        <w:t xml:space="preserve">сов в СУЭ ФК из интерфейса ИС при возникновении проблем функционирования. В любом интерфейсе ИС должна быть создана кнопка «Сообщить о проблеме» и реализована комбинация клавиш, ее дублирующая. При нажатии на данную кнопку (либо при нажатии комбинации клав</w:t>
      </w:r>
      <w:r>
        <w:t xml:space="preserve">иш) должно создаваться сообщение электронной почты от лица пользователя, авторизованного в ИС, с указанием в теме письма названия ИС и отправляться от лица пользователя на электронный адрес СУЭ ФК (либо в виде системного сообщения, передаваемого в СУЭ ФК).</w:t>
      </w:r>
      <w:r/>
    </w:p>
    <w:p>
      <w:pPr>
        <w:pStyle w:val="1224"/>
      </w:pPr>
      <w:r>
        <w:t xml:space="preserve">Сообщение должно быть в автоматическом режиме наполнено следующей информацией:</w:t>
      </w:r>
      <w:r/>
    </w:p>
    <w:p>
      <w:pPr>
        <w:pStyle w:val="1245"/>
      </w:pPr>
      <w:r>
        <w:t xml:space="preserve">изображение экрана (скриншот) в момент формирования сообщения;</w:t>
      </w:r>
      <w:r/>
    </w:p>
    <w:p>
      <w:pPr>
        <w:pStyle w:val="1245"/>
      </w:pPr>
      <w:r>
        <w:t xml:space="preserve">код и сообщение об ошибке (при необходимости);</w:t>
      </w:r>
      <w:r/>
    </w:p>
    <w:p>
      <w:pPr>
        <w:pStyle w:val="1245"/>
      </w:pPr>
      <w:r>
        <w:t xml:space="preserve">параметры компьютера пользователя, содержащие информацию, к</w:t>
      </w:r>
      <w:r>
        <w:t xml:space="preserve">ак минимум, о частоте процессора, объеме оперативной памяти, наименовании операционной системы и её версии, наименовании и версии используемого для доступа к ИС интернет-обозревателя, наименовании и версии используемого офисного ПО, версии клиентского ПО);</w:t>
      </w:r>
      <w:r/>
    </w:p>
    <w:p>
      <w:pPr>
        <w:pStyle w:val="1245"/>
      </w:pPr>
      <w:r>
        <w:t xml:space="preserve">идентификационные и контактные данные пользователя, которые возможно получить в автоматическом режиме, например, следующие:</w:t>
      </w:r>
      <w:r/>
    </w:p>
    <w:p>
      <w:pPr>
        <w:pStyle w:val="1246"/>
      </w:pPr>
      <w:r>
        <w:t xml:space="preserve">ФИО пользователя (обязательно);</w:t>
      </w:r>
      <w:r/>
    </w:p>
    <w:p>
      <w:pPr>
        <w:pStyle w:val="1246"/>
      </w:pPr>
      <w:r>
        <w:t xml:space="preserve">адрес электронной почты пользователя (обязательно);</w:t>
      </w:r>
      <w:r/>
    </w:p>
    <w:p>
      <w:pPr>
        <w:pStyle w:val="1246"/>
      </w:pPr>
      <w:r>
        <w:t xml:space="preserve">телефон пользователя (обязательно);</w:t>
      </w:r>
      <w:r/>
    </w:p>
    <w:p>
      <w:pPr>
        <w:pStyle w:val="1246"/>
      </w:pPr>
      <w:r>
        <w:t xml:space="preserve">полное наименование организации (обязательно);</w:t>
      </w:r>
      <w:r/>
    </w:p>
    <w:p>
      <w:pPr>
        <w:pStyle w:val="1246"/>
      </w:pPr>
      <w:r>
        <w:t xml:space="preserve">ИНН организации (опционально);</w:t>
      </w:r>
      <w:r/>
    </w:p>
    <w:p>
      <w:pPr>
        <w:pStyle w:val="1246"/>
      </w:pPr>
      <w:r>
        <w:t xml:space="preserve">ОГРН/КПП организации (опционально);</w:t>
      </w:r>
      <w:r/>
    </w:p>
    <w:p>
      <w:pPr>
        <w:pStyle w:val="1246"/>
      </w:pPr>
      <w:r>
        <w:t xml:space="preserve">подразделение (опционально);</w:t>
      </w:r>
      <w:r/>
    </w:p>
    <w:p>
      <w:pPr>
        <w:pStyle w:val="1246"/>
      </w:pPr>
      <w:r>
        <w:t xml:space="preserve">должность (опционально); </w:t>
      </w:r>
      <w:r/>
    </w:p>
    <w:p>
      <w:pPr>
        <w:pStyle w:val="1246"/>
      </w:pPr>
      <w:r>
        <w:t xml:space="preserve">полномочия пользователя: коды ролей (опционально).</w:t>
      </w:r>
      <w:r/>
    </w:p>
    <w:p>
      <w:pPr>
        <w:pStyle w:val="1224"/>
      </w:pPr>
      <w:r>
        <w:t xml:space="preserve">В ИС должна быть обеспечена возможность для пользователя вносить комментарии в автоматически формируемое сообщение перед его отправкой.</w:t>
      </w:r>
      <w:r/>
    </w:p>
    <w:p>
      <w:pPr>
        <w:pStyle w:val="1224"/>
      </w:pPr>
      <w:r>
        <w:t xml:space="preserve">При обращении пользователя в службу поддержки в первый раз, сообщение должно направляться от имени унифицированного пользователя, адрес которого задается администратором. </w:t>
      </w:r>
      <w:r/>
    </w:p>
    <w:p>
      <w:pPr>
        <w:pStyle w:val="1224"/>
      </w:pPr>
      <w:r>
        <w:t xml:space="preserve">При обращении пользователя во второй раз (и далее) сообщение должно отправляться от лица пользователя, авторизованного в ИС, с указанием его адреса электронной почты.</w:t>
      </w:r>
      <w:r/>
    </w:p>
    <w:p>
      <w:pPr>
        <w:pStyle w:val="1224"/>
      </w:pPr>
      <w:r>
        <w:t xml:space="preserve">ИС должна включать настраиваемые средства уведомления уполномоченных лиц о событиях самодиагностики (например, в личном кабинете пользователя или по электронной почте), включающие в себя как минимум:</w:t>
      </w:r>
      <w:r/>
    </w:p>
    <w:p>
      <w:pPr>
        <w:pStyle w:val="1245"/>
      </w:pPr>
      <w:r>
        <w:t xml:space="preserve">предупреждение о недоступности сервиса (или превышении заданного времени отклика);</w:t>
      </w:r>
      <w:r/>
    </w:p>
    <w:p>
      <w:pPr>
        <w:pStyle w:val="1245"/>
      </w:pPr>
      <w:r>
        <w:t xml:space="preserve">предупреждение о достижении порогового значения времени реакции системы на действия пользователя;</w:t>
      </w:r>
      <w:r/>
    </w:p>
    <w:p>
      <w:pPr>
        <w:pStyle w:val="1245"/>
      </w:pPr>
      <w:r>
        <w:t xml:space="preserve">предупреждение о критичных и блокирующих ошибках.</w:t>
      </w:r>
      <w:r/>
    </w:p>
    <w:p>
      <w:pPr>
        <w:pStyle w:val="1224"/>
      </w:pPr>
      <w:r>
        <w:t xml:space="preserve">Проектные решения, принятые при разработке ИС, должны обесп</w:t>
      </w:r>
      <w:r>
        <w:t xml:space="preserve">ечивать технические возможности мониторинга состояния всех программных и аппаратных компонентов ИС средствами СУЭ ФК, а также предусматривать необходимый уровень доступа СУЭ ФК к программным и аппаратным компонентам ИС для сбора информации об их состоянии.</w:t>
      </w:r>
      <w:r/>
    </w:p>
    <w:p>
      <w:pPr>
        <w:pStyle w:val="1224"/>
      </w:pPr>
      <w:r>
        <w:t xml:space="preserve">В документе "Паспорт ИТ-сервиса" ИС </w:t>
      </w:r>
      <w:r>
        <w:t xml:space="preserve">должен содержаться перечень первичной информации мониторинга (метрики, события), собираемой средствами СУЭ ФК с каждого программного и аппаратного компонента ИС, с указанием политик мониторинга, которые должны использоваться для получения такой информации.</w:t>
      </w:r>
      <w:r/>
    </w:p>
    <w:p>
      <w:pPr>
        <w:pStyle w:val="1224"/>
      </w:pPr>
      <w:r>
        <w:t xml:space="preserve">В документе "Паспорт ИТ-сервиса" ИС должен содержаться перечень и правила расчета производных показателей состояния компонентов ИС (показатели здоровья, ключевые показатели эффективности), рассчитываемых на основе первичной информации мониторинга.</w:t>
      </w:r>
      <w:r/>
    </w:p>
    <w:p>
      <w:pPr>
        <w:pStyle w:val="1204"/>
        <w:rPr>
          <w:rFonts w:ascii="Times New Roman" w:hAnsi="Times New Roman"/>
        </w:rPr>
      </w:pPr>
      <w:r/>
      <w:bookmarkStart w:id="27" w:name="_Toc2762768"/>
      <w:r/>
      <w:bookmarkStart w:id="28" w:name="_Toc478556811"/>
      <w:r>
        <w:rPr>
          <w:rFonts w:ascii="Times New Roman" w:hAnsi="Times New Roman"/>
        </w:rPr>
        <w:t xml:space="preserve">Требования к развитию и модернизации</w:t>
      </w:r>
      <w:bookmarkEnd w:id="27"/>
      <w:r/>
      <w:bookmarkEnd w:id="28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Модернизация и развитие ИС должны проводиться с учетом новаций бюджетного процесса Российской Федерации.</w:t>
      </w:r>
      <w:r/>
    </w:p>
    <w:p>
      <w:pPr>
        <w:pStyle w:val="1224"/>
      </w:pPr>
      <w:r>
        <w:t xml:space="preserve">Техничес</w:t>
      </w:r>
      <w:r>
        <w:t xml:space="preserve">кие решения, заложенные в ИС, должны обеспечивать максимально возможную приспособляемость ИС к изменениям параметров объекта автоматизации, состава выполняемых функций, количественных значений показателей назначения и прочих требований, предъявляемых к ИС.</w:t>
      </w:r>
      <w:r/>
    </w:p>
    <w:p>
      <w:pPr>
        <w:pStyle w:val="1224"/>
      </w:pPr>
      <w:r>
        <w:t xml:space="preserve">Технические решения, заложенные в ИС, должны обеспечивать возможности для масштабирования, в частности:</w:t>
      </w:r>
      <w:r/>
    </w:p>
    <w:p>
      <w:pPr>
        <w:pStyle w:val="1245"/>
      </w:pPr>
      <w:r>
        <w:t xml:space="preserve">ИС должна обладать возможностями аппаратного и программного масштабирования по мере возрастания нагрузки, связанной как с ростом числа пользователей и количества обращений к ней, так и с увеличением объема обрабатываемой в ней информации;</w:t>
      </w:r>
      <w:r/>
    </w:p>
    <w:p>
      <w:pPr>
        <w:pStyle w:val="1245"/>
      </w:pPr>
      <w:r>
        <w:t xml:space="preserve">ИС должна обеспечивать возможность вывода кластера ИС обрабатывающей продуктивный трафик ИС из схемы балансировки для технического обслуживания, обновления или перезагрузки;</w:t>
      </w:r>
      <w:r/>
    </w:p>
    <w:p>
      <w:pPr>
        <w:pStyle w:val="1245"/>
      </w:pPr>
      <w:r>
        <w:t xml:space="preserve">ИС должна обладать возможностями для поэтапного расширения состава выполняемых ею функций без привязки к модернизации аппаратно-программной платформы и без ухудшения её технических характеристик.</w:t>
      </w:r>
      <w:r/>
    </w:p>
    <w:p>
      <w:pPr>
        <w:pStyle w:val="1224"/>
      </w:pPr>
      <w:r>
        <w:t xml:space="preserve">Развитие ИС должно осуществляться в следующих направлениях:</w:t>
      </w:r>
      <w:r/>
    </w:p>
    <w:p>
      <w:pPr>
        <w:pStyle w:val="1245"/>
      </w:pPr>
      <w:r>
        <w:t xml:space="preserve">модернизация СПО, БПО и ПО СУБД;</w:t>
      </w:r>
      <w:r/>
    </w:p>
    <w:p>
      <w:pPr>
        <w:pStyle w:val="1245"/>
      </w:pPr>
      <w:r>
        <w:t xml:space="preserve">обновление версий ППО;</w:t>
      </w:r>
      <w:r/>
    </w:p>
    <w:p>
      <w:pPr>
        <w:pStyle w:val="1245"/>
      </w:pPr>
      <w:r>
        <w:t xml:space="preserve">модернизация аппаратной платформы;</w:t>
      </w:r>
      <w:r/>
    </w:p>
    <w:p>
      <w:pPr>
        <w:pStyle w:val="1245"/>
      </w:pPr>
      <w:r>
        <w:t xml:space="preserve">расширение состава функций ИС;</w:t>
      </w:r>
      <w:r/>
    </w:p>
    <w:p>
      <w:pPr>
        <w:pStyle w:val="1245"/>
      </w:pPr>
      <w:r>
        <w:t xml:space="preserve">распространение (тиражирование) ИС на другие объекты Заказчика и, при необходимости, на авторизованные внешние организации;</w:t>
      </w:r>
      <w:r/>
    </w:p>
    <w:p>
      <w:pPr>
        <w:pStyle w:val="1245"/>
      </w:pPr>
      <w:r>
        <w:t xml:space="preserve">охват новых видов документов, в т.ч. с дополнительной атрибутивной информацией;</w:t>
      </w:r>
      <w:r/>
    </w:p>
    <w:p>
      <w:pPr>
        <w:pStyle w:val="1245"/>
      </w:pPr>
      <w:r>
        <w:t xml:space="preserve">модернизация ИС при появлении новых технологических процессов и изменении существующих;</w:t>
      </w:r>
      <w:r/>
    </w:p>
    <w:p>
      <w:pPr>
        <w:pStyle w:val="1245"/>
      </w:pPr>
      <w:r>
        <w:t xml:space="preserve">создание дополнительных отчетов;</w:t>
      </w:r>
      <w:r/>
    </w:p>
    <w:p>
      <w:pPr>
        <w:pStyle w:val="1245"/>
      </w:pPr>
      <w:r>
        <w:t xml:space="preserve">изменение/актуализация шаблонов функционального и инфраструктурного мониторинга ИС;</w:t>
      </w:r>
      <w:r/>
    </w:p>
    <w:p>
      <w:pPr>
        <w:pStyle w:val="1245"/>
      </w:pPr>
      <w:r>
        <w:t xml:space="preserve">интеграция ИС с новыми системами Заказчика.</w:t>
      </w:r>
      <w:r/>
    </w:p>
    <w:p>
      <w:pPr>
        <w:pStyle w:val="1204"/>
        <w:rPr>
          <w:rFonts w:ascii="Times New Roman" w:hAnsi="Times New Roman"/>
        </w:rPr>
      </w:pPr>
      <w:r/>
      <w:bookmarkStart w:id="29" w:name="_Toc2762769"/>
      <w:r/>
      <w:bookmarkStart w:id="30" w:name="_Toc478556812"/>
      <w:r>
        <w:rPr>
          <w:rFonts w:ascii="Times New Roman" w:hAnsi="Times New Roman"/>
        </w:rPr>
        <w:t xml:space="preserve">Требования к численности, квалификации персонала ИС и режиму его работы</w:t>
      </w:r>
      <w:bookmarkEnd w:id="29"/>
      <w:r/>
      <w:bookmarkEnd w:id="3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  <w:rPr>
          <w:rStyle w:val="1293"/>
          <w:i w:val="0"/>
        </w:rPr>
      </w:pPr>
      <w:r>
        <w:rPr>
          <w:rStyle w:val="1293"/>
          <w:i w:val="0"/>
        </w:rPr>
        <w:t xml:space="preserve">Состав эксплуатирующего персонала, его квалификация и организация его работы должны быть направлены на обеспечение работоспособности ИС с заданными показателями назначения.</w:t>
      </w:r>
      <w:r>
        <w:rPr>
          <w:rStyle w:val="1293"/>
          <w:i w:val="0"/>
        </w:rPr>
      </w:r>
      <w:r>
        <w:rPr>
          <w:rStyle w:val="1293"/>
          <w:i w:val="0"/>
        </w:rPr>
      </w:r>
    </w:p>
    <w:p>
      <w:pPr>
        <w:pStyle w:val="1224"/>
        <w:rPr>
          <w:rStyle w:val="1293"/>
        </w:rPr>
      </w:pPr>
      <w:r>
        <w:rPr>
          <w:rStyle w:val="1293"/>
        </w:rPr>
        <w:t xml:space="preserve">В настоящем разделе приводят следующие требования к персоналу ИС: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численности персонала ИС;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квалификации персонала ИС, порядку его подготовки и контроля знаний и навыков;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режиму работы персонала ИС, с учётом режимов функционирования ИС.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31" w:name="_Toc2762770"/>
      <w:r/>
      <w:bookmarkStart w:id="32" w:name="_Toc478556813"/>
      <w:r>
        <w:rPr>
          <w:rFonts w:ascii="Times New Roman" w:hAnsi="Times New Roman"/>
        </w:rPr>
        <w:t xml:space="preserve">Требования к показателям назначения</w:t>
      </w:r>
      <w:r>
        <w:rPr>
          <w:rStyle w:val="1252"/>
          <w:rFonts w:ascii="Times New Roman" w:hAnsi="Times New Roman"/>
        </w:rPr>
        <w:footnoteReference w:id="4"/>
      </w:r>
      <w:bookmarkEnd w:id="31"/>
      <w:r/>
      <w:bookmarkEnd w:id="32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  <w:rPr>
          <w:rStyle w:val="1293"/>
        </w:rPr>
      </w:pPr>
      <w:r>
        <w:rPr>
          <w:rStyle w:val="1293"/>
        </w:rPr>
        <w:t xml:space="preserve">В настоящем разделе приводят значения параметров, характеризующих степень соответствия системы ее назначению, включая вероятностно-временные характеристики, при которых сохраняется целевое назначение системы.</w:t>
      </w:r>
      <w:r>
        <w:rPr>
          <w:rStyle w:val="1293"/>
        </w:rPr>
      </w:r>
      <w:r>
        <w:rPr>
          <w:rStyle w:val="1293"/>
        </w:rPr>
      </w:r>
    </w:p>
    <w:p>
      <w:pPr>
        <w:pStyle w:val="1224"/>
        <w:rPr>
          <w:rStyle w:val="1293"/>
        </w:rPr>
      </w:pPr>
      <w:r>
        <w:rPr>
          <w:rStyle w:val="1293"/>
        </w:rPr>
        <w:t xml:space="preserve">В качестве типовых показателей назначения могут быть использованы, например, следующие: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численность пользователей, работающих в ИС: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общее количество пользователей, зарегистрированных в ИС;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количество пользователей по категориям/ролям;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среднее и максимальное количество пользователей, одновременно работающих в ИС;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количество пользователей, работающих с ИС, но не зарегистрированных в ней и/или пользователей, работающих в ИС в режиме чтения информации;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объемы обрабатываемых данных: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средний объем документа (Кб);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среднее количество документов, обрабатываемых в ИС за рабочий день;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количество регистрируемых в ИС объектов: общее и по видам за день;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максимальный размер обрабатываемого ИС структурированного/неструктурированного (например, вложения) объекта;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объемы данных, хранимых в ИС: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максимальный/минимальный объем данных, хранимых в СХД ИС: суммарный/с разбивкой по подсистемам/с разбивкой по классам (например, стоимостным) СХД;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прогнозируемый годовой прирост объема хранимых данных в %.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временные характеристики: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среднее/максимальное время отклика ИС на различные действия пользователя;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периодичность синхронизации данных между ИС; 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максимальное/среднее время подготовки отчетов (по видам отчетов);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срок хранения документов (или записей БД) в оперативном и архивном хранилищах;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требования к времени окна резервного копирования и времени восстановления сервиса из резервной копии;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время переключения на резервные технические средства, находящиеся в горячем резерве, внутри площадки ЦОД;</w:t>
      </w:r>
      <w:r>
        <w:rPr>
          <w:rStyle w:val="1293"/>
        </w:rPr>
      </w:r>
      <w:r>
        <w:rPr>
          <w:rStyle w:val="1293"/>
        </w:rPr>
      </w:r>
    </w:p>
    <w:p>
      <w:pPr>
        <w:pStyle w:val="1246"/>
        <w:rPr>
          <w:rStyle w:val="1293"/>
        </w:rPr>
      </w:pPr>
      <w:r>
        <w:rPr>
          <w:rStyle w:val="1293"/>
        </w:rPr>
        <w:t xml:space="preserve">время восстановления доступности ИС после возникновения ситуации, при которой стало невозможно использовать одну из площадок ЦОД.</w:t>
      </w:r>
      <w:r>
        <w:rPr>
          <w:rStyle w:val="1293"/>
        </w:rPr>
      </w:r>
      <w:r>
        <w:rPr>
          <w:rStyle w:val="1293"/>
        </w:rPr>
      </w:r>
    </w:p>
    <w:p>
      <w:pPr>
        <w:pStyle w:val="1224"/>
        <w:rPr>
          <w:rStyle w:val="1293"/>
        </w:rPr>
      </w:pPr>
      <w:r>
        <w:rPr>
          <w:rStyle w:val="1293"/>
        </w:rPr>
        <w:t xml:space="preserve">В ТЗ должно быть у</w:t>
      </w:r>
      <w:r>
        <w:rPr>
          <w:rStyle w:val="1293"/>
        </w:rPr>
        <w:t xml:space="preserve">казано, какие показатели назначения должны обеспечиваться одновременно. Пример выполнения подобного требования в ТЗ: "ИС должна обеспечивать время отклика 3 секунды при 2000 одновременно работающих пользователях и 10000 документах, хранимых в базе данных".</w:t>
      </w:r>
      <w:r>
        <w:rPr>
          <w:rStyle w:val="1293"/>
        </w:rPr>
      </w:r>
      <w:r>
        <w:rPr>
          <w:rStyle w:val="1293"/>
        </w:rPr>
      </w:r>
    </w:p>
    <w:p>
      <w:pPr>
        <w:pStyle w:val="1224"/>
      </w:pPr>
      <w:r>
        <w:t xml:space="preserve">Технические решения, обеспечивающие достижение заданных в ТЗ показателей назначения ИС, должны быть описаны в документе "Пояснительная записка к техническому проекту".</w:t>
      </w:r>
      <w:r/>
    </w:p>
    <w:p>
      <w:pPr>
        <w:pStyle w:val="1224"/>
      </w:pPr>
      <w:r>
        <w:t xml:space="preserve">В документе "Программа и методика испытаний" должны быть приведены методики проверки достижения всех без исключения показателей назначения ИС.</w:t>
      </w:r>
      <w:r/>
    </w:p>
    <w:p>
      <w:pPr>
        <w:pStyle w:val="1204"/>
        <w:rPr>
          <w:rFonts w:ascii="Times New Roman" w:hAnsi="Times New Roman"/>
        </w:rPr>
      </w:pPr>
      <w:r/>
      <w:bookmarkStart w:id="33" w:name="_Toc2762771"/>
      <w:r/>
      <w:bookmarkStart w:id="34" w:name="_Toc478556814"/>
      <w:r>
        <w:rPr>
          <w:rFonts w:ascii="Times New Roman" w:hAnsi="Times New Roman"/>
        </w:rPr>
        <w:t xml:space="preserve">Требования к обеспечению надёжности ИС</w:t>
      </w:r>
      <w:bookmarkEnd w:id="33"/>
      <w:r/>
      <w:bookmarkEnd w:id="34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ИС должна соответствовать следующим количественным показателям надёжности</w:t>
      </w:r>
      <w:r>
        <w:rPr>
          <w:rStyle w:val="1252"/>
        </w:rPr>
        <w:footnoteReference w:id="5"/>
      </w:r>
      <w:r>
        <w:t xml:space="preserve">:</w:t>
      </w:r>
      <w:r/>
    </w:p>
    <w:p>
      <w:pPr>
        <w:pStyle w:val="1245"/>
      </w:pPr>
      <w:r>
        <w:t xml:space="preserve">коэффициент доступности</w:t>
      </w:r>
      <w:r>
        <w:rPr>
          <w:vertAlign w:val="superscript"/>
        </w:rPr>
        <w:footnoteReference w:id="6"/>
      </w:r>
      <w:r>
        <w:t xml:space="preserve"> всех предоставляемых ИС сервисов, определяемый как отношение времени доступности сервиса в штатном режиме к длительности отчётного периода, должен быть на уровне не ниже 0.97.</w:t>
      </w:r>
      <w:r/>
    </w:p>
    <w:p>
      <w:pPr>
        <w:pStyle w:val="1266"/>
        <w:rPr>
          <w:rStyle w:val="1293"/>
        </w:rPr>
      </w:pPr>
      <w:r>
        <w:rPr>
          <w:rStyle w:val="1293"/>
        </w:rPr>
        <w:t xml:space="preserve">При необходимости в данном перечне могут приводиться дополнительные количественные показатели, характеризующие требуемую надёжность ИС, например, такие как: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среднее время наработки на отказ (Mean Time Between Failures – MTBF). Для сервиса определяется как среднее время между его восстановлением после од</w:t>
      </w:r>
      <w:r>
        <w:rPr>
          <w:rStyle w:val="1293"/>
        </w:rPr>
        <w:t xml:space="preserve">ного сбоя и возникновением другого и характеризует среднюю длительность работоспособного состояния сервиса. Требования к среднему времени наработки на отказ могут также предъявляться к отдельным элементам ИС и использоваться в проектных оценках надёжности;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среднее время восстановления (Mean Time to Repair – MTT</w:t>
      </w:r>
      <w:r>
        <w:rPr>
          <w:rStyle w:val="1293"/>
        </w:rPr>
        <w:t xml:space="preserve">R). Для сервиса определяется как среднее время между возникновением сбоя и восстановлением сервиса, характеризует среднее время его простоя и позволяет в рамках отчётного периода нормировать такие аспекты сервиса, как восстанавливаемость и обслуживаемость.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среднее</w:t>
      </w:r>
      <w:r>
        <w:rPr>
          <w:rStyle w:val="1293"/>
          <w:lang w:val="en-US"/>
        </w:rPr>
        <w:t xml:space="preserve"> </w:t>
      </w:r>
      <w:r>
        <w:rPr>
          <w:rStyle w:val="1293"/>
        </w:rPr>
        <w:t xml:space="preserve">время</w:t>
      </w:r>
      <w:r>
        <w:rPr>
          <w:rStyle w:val="1293"/>
          <w:lang w:val="en-US"/>
        </w:rPr>
        <w:t xml:space="preserve"> </w:t>
      </w:r>
      <w:r>
        <w:rPr>
          <w:rStyle w:val="1293"/>
        </w:rPr>
        <w:t xml:space="preserve">между</w:t>
      </w:r>
      <w:r>
        <w:rPr>
          <w:rStyle w:val="1293"/>
          <w:lang w:val="en-US"/>
        </w:rPr>
        <w:t xml:space="preserve"> </w:t>
      </w:r>
      <w:r>
        <w:rPr>
          <w:rStyle w:val="1293"/>
        </w:rPr>
        <w:t xml:space="preserve">инцидентами</w:t>
      </w:r>
      <w:r>
        <w:rPr>
          <w:rStyle w:val="1293"/>
          <w:lang w:val="en-US"/>
        </w:rPr>
        <w:t xml:space="preserve"> (Mean Time Between System Incidents – MTBSI). </w:t>
      </w:r>
      <w:r>
        <w:rPr>
          <w:rStyle w:val="1293"/>
        </w:rPr>
        <w:t xml:space="preserve">Определяется, как среднее время между двумя последовательными инцидентами. Данный показатель может исчисляться, как сумма показател</w:t>
      </w:r>
      <w:r>
        <w:rPr>
          <w:rStyle w:val="1293"/>
        </w:rPr>
        <w:t xml:space="preserve">ей MTTR и MTBF. Нормирование показателя MTBSI необходимо в случаях, когда частые кратковременные сбои в ИС, не оказывающие существенного влияния на общую доступность сервиса, могут приводить к ограничениям, или к полной невозможности использования сервиса.</w:t>
      </w:r>
      <w:r>
        <w:rPr>
          <w:rStyle w:val="1293"/>
        </w:rPr>
      </w:r>
      <w:r>
        <w:rPr>
          <w:rStyle w:val="1293"/>
        </w:rPr>
      </w:r>
    </w:p>
    <w:p>
      <w:pPr>
        <w:pStyle w:val="1224"/>
      </w:pPr>
      <w:r>
        <w:t xml:space="preserve">В качестве отчетного периода должен приниматься календарный квартал.</w:t>
      </w:r>
      <w:r/>
    </w:p>
    <w:p>
      <w:pPr>
        <w:pStyle w:val="1224"/>
      </w:pPr>
      <w:r>
        <w:t xml:space="preserve">Согласованные с Заказчиком периоды плановых простоев и регламентных работ, в течение которых имеет место частичная или полная приостановка сервисов ИС, не должны учитываться при подсчете коэффициента доступности.</w:t>
      </w:r>
      <w:r/>
    </w:p>
    <w:p>
      <w:pPr>
        <w:pStyle w:val="1224"/>
      </w:pPr>
      <w:r>
        <w:t xml:space="preserve">Технические решения ИС должны обеспечивать возможность вычисления фактических показателей надёжности за отчётный период, включая средства для автоматического мониторинга доступности сервисов ИС в режиме реального времени на основе синтетических транзакций.</w:t>
      </w:r>
      <w:r/>
    </w:p>
    <w:p>
      <w:pPr>
        <w:pStyle w:val="1224"/>
      </w:pPr>
      <w:r>
        <w:t xml:space="preserve">В технической документации на ИС на этапе технического проектирования должна быть выполнена проектная оценка </w:t>
      </w:r>
      <w:r>
        <w:t xml:space="preserve">надёжности,</w:t>
      </w:r>
      <w:r>
        <w:t xml:space="preserve"> создаваемой ИС</w:t>
      </w:r>
      <w:r>
        <w:rPr>
          <w:rStyle w:val="1252"/>
        </w:rPr>
        <w:footnoteReference w:id="7"/>
      </w:r>
      <w:r>
        <w:t xml:space="preserve">, включающая в себя теоретический расчёт количественных показателей надёжности с целью оценки их соответствия требованиям настоящего ТЗ.</w:t>
      </w:r>
      <w:r/>
    </w:p>
    <w:p>
      <w:pPr>
        <w:pStyle w:val="1224"/>
      </w:pPr>
      <w:r>
        <w:t xml:space="preserve">ИС должна обеспечивать корректную обработку ошибочных ситуаций в ППО с возможностью дальнейшего продолжения работы без аварийной остановки СПО, БПО и аппаратного обеспечения. </w:t>
      </w:r>
      <w:r/>
    </w:p>
    <w:p>
      <w:pPr>
        <w:pStyle w:val="1224"/>
      </w:pPr>
      <w:r>
        <w:t xml:space="preserve">При авариях и сбоях в системе электропитания после их устранения восстановление работоспособности ИС должно обеспечиваться путём автоматической перезагрузки ПАК ИС и последующего автоматического восстановления всех предоставляемых ИС сервисов.</w:t>
      </w:r>
      <w:r/>
    </w:p>
    <w:p>
      <w:pPr>
        <w:pStyle w:val="1266"/>
      </w:pPr>
      <w:r>
        <w:rPr>
          <w:rStyle w:val="1293"/>
        </w:rPr>
        <w:t xml:space="preserve">Также в настоящем разделе могут приводиться дополнительные требования, направленные на достижение нормированных показателей надёжности и повышение общей надёжности ИС в целом. </w:t>
      </w:r>
      <w:r/>
    </w:p>
    <w:p>
      <w:pPr>
        <w:pStyle w:val="1204"/>
        <w:rPr>
          <w:rFonts w:ascii="Times New Roman" w:hAnsi="Times New Roman"/>
        </w:rPr>
      </w:pPr>
      <w:r/>
      <w:bookmarkStart w:id="35" w:name="_Toc2762772"/>
      <w:r/>
      <w:bookmarkStart w:id="36" w:name="_Toc478556815"/>
      <w:r>
        <w:rPr>
          <w:rFonts w:ascii="Times New Roman" w:hAnsi="Times New Roman"/>
        </w:rPr>
        <w:t xml:space="preserve">Требования к безопасности</w:t>
      </w:r>
      <w:bookmarkEnd w:id="35"/>
      <w:r/>
      <w:bookmarkEnd w:id="3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  <w:rPr>
          <w:rStyle w:val="1292"/>
        </w:rPr>
      </w:pPr>
      <w:r>
        <w:rPr>
          <w:rStyle w:val="1292"/>
          <w:b w:val="0"/>
        </w:rPr>
        <w:t xml:space="preserve">Используемые технические средства должны обеспечивать безопасность работы обслуживающего персонала при эксплуатации системы.</w:t>
      </w:r>
      <w:r>
        <w:rPr>
          <w:rStyle w:val="1292"/>
        </w:rPr>
      </w:r>
      <w:r>
        <w:rPr>
          <w:rStyle w:val="1292"/>
        </w:rPr>
      </w:r>
    </w:p>
    <w:p>
      <w:pPr>
        <w:pStyle w:val="1224"/>
        <w:rPr>
          <w:rStyle w:val="1292"/>
          <w:b w:val="0"/>
        </w:rPr>
      </w:pPr>
      <w:r>
        <w:rPr>
          <w:rStyle w:val="1292"/>
          <w:b w:val="0"/>
        </w:rPr>
        <w:t xml:space="preserve">Все внешние элементы технических средств системы, находящиеся под напряжением, должны иметь защиту от случайного прикосновения, а сами технические средства иметь зануление или защитное заземление в соответствии с ГОСТ 12.1.030-81 </w:t>
      </w:r>
      <w:r>
        <w:rPr>
          <w:rStyle w:val="1292"/>
          <w:b w:val="0"/>
        </w:rPr>
        <w:t xml:space="preserve">«</w:t>
      </w:r>
      <w:r>
        <w:rPr>
          <w:szCs w:val="28"/>
        </w:rPr>
        <w:t xml:space="preserve">Электробезопасность</w:t>
      </w:r>
      <w:r>
        <w:rPr>
          <w:szCs w:val="28"/>
        </w:rPr>
        <w:t xml:space="preserve">. Защитное заземление</w:t>
      </w:r>
      <w:r>
        <w:rPr>
          <w:szCs w:val="28"/>
        </w:rPr>
        <w:t xml:space="preserve">. Зануление.</w:t>
      </w:r>
      <w:r>
        <w:rPr>
          <w:szCs w:val="28"/>
        </w:rPr>
        <w:t xml:space="preserve">»</w:t>
      </w:r>
      <w:r>
        <w:rPr>
          <w:rStyle w:val="1292"/>
          <w:b w:val="0"/>
        </w:rPr>
        <w:t xml:space="preserve"> </w:t>
      </w:r>
      <w:r>
        <w:rPr>
          <w:rStyle w:val="1292"/>
          <w:b w:val="0"/>
        </w:rPr>
        <w:t xml:space="preserve">и Правилами устройства электроустановок, утвержденными Приказом Минэнерго РФ от 08.07.2002 г. № 204.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24"/>
        <w:rPr>
          <w:rStyle w:val="1292"/>
          <w:b w:val="0"/>
        </w:rPr>
      </w:pPr>
      <w:r>
        <w:rPr>
          <w:rStyle w:val="1292"/>
          <w:b w:val="0"/>
        </w:rPr>
        <w:t xml:space="preserve">Пожарная безопасность должна обеспечиваться в соответствии с требованиями, приведенными в Правилах пожарной безопасности в Российской Федерации (ППБ 01-03).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24"/>
        <w:rPr>
          <w:rStyle w:val="1292"/>
          <w:b w:val="0"/>
        </w:rPr>
      </w:pPr>
      <w:r>
        <w:rPr>
          <w:rStyle w:val="1292"/>
          <w:b w:val="0"/>
        </w:rPr>
        <w:t xml:space="preserve">Эксплуатационная документация, поставляемая в комплекте с оборудованием, должна содержать указания по обеспечению безопасности обслуживающего персонала при эксплуатации и техническом обслуживании оборудования.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77"/>
        <w:ind w:firstLine="0"/>
        <w:rPr>
          <w:rStyle w:val="1293"/>
        </w:rPr>
      </w:pPr>
      <w:r>
        <w:rPr>
          <w:rStyle w:val="1293"/>
        </w:rPr>
        <w:t xml:space="preserve">Также в настоящем разделе могут быть приведены дополнительные требования по обеспечению безопасно</w:t>
      </w:r>
      <w:r>
        <w:rPr>
          <w:rStyle w:val="1293"/>
        </w:rPr>
        <w:t xml:space="preserve">сти при монтаже, наладке, эксплуатации, обслуживании и ремонте технических средств системы (защита от воздействий электрического тока, электромагнитных полей, акустических шумов и т. п.), по допустимым уровням освещенности, вибрационных и шумовых нагрузок.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37" w:name="_Toc2762773"/>
      <w:r/>
      <w:bookmarkStart w:id="38" w:name="_Toc478556816"/>
      <w:r>
        <w:rPr>
          <w:rFonts w:ascii="Times New Roman" w:hAnsi="Times New Roman"/>
        </w:rPr>
        <w:t xml:space="preserve">Требования к эргономике и технической эстетике</w:t>
      </w:r>
      <w:bookmarkEnd w:id="37"/>
      <w:r/>
      <w:bookmarkEnd w:id="38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  <w:rPr>
          <w:rStyle w:val="1293"/>
        </w:rPr>
      </w:pPr>
      <w:r>
        <w:rPr>
          <w:rStyle w:val="1293"/>
        </w:rPr>
        <w:t xml:space="preserve">В настоящем разделе приводят показатели ИС, задающие необходимое качество взаимодействия человека с ИС и комфортность условий работы персонала. Например, могут задаваться: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дизайну интерфейсов и удо</w:t>
      </w:r>
      <w:r>
        <w:rPr>
          <w:rStyle w:val="1293"/>
        </w:rPr>
        <w:t xml:space="preserve">бству использования (требования к шрифтам, фону, используемым цветам, графическому оформлению, использованию звуковых подсказок, наличию сервисных меню, иконок, кнопок, требования к поддержке и использованию устройств ввода информации и управления и т.д.);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сервисным функциям и интерфейсам ИС, наличие которых обеспечивает удобство эксплуатации ИС (в частности, наличие справочной системы, интерактивного помощника и т.п.).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39" w:name="_Toc2762774"/>
      <w:r/>
      <w:bookmarkStart w:id="40" w:name="_Toc478556817"/>
      <w:r>
        <w:rPr>
          <w:rFonts w:ascii="Times New Roman" w:hAnsi="Times New Roman"/>
        </w:rPr>
        <w:t xml:space="preserve">Требования к эксплуатации</w:t>
      </w:r>
      <w:bookmarkEnd w:id="39"/>
      <w:r/>
      <w:bookmarkEnd w:id="4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  <w:rPr>
          <w:rStyle w:val="1292"/>
          <w:b w:val="0"/>
        </w:rPr>
      </w:pPr>
      <w:r>
        <w:rPr>
          <w:rStyle w:val="1292"/>
          <w:b w:val="0"/>
        </w:rPr>
        <w:t xml:space="preserve">Организация деятельности обслуживающего персонала по эксплуатации и техническому обслуживанию ИС должна регламентироваться с учетом ведомственных нормативно-технических документов.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24"/>
        <w:rPr>
          <w:rStyle w:val="1292"/>
          <w:b w:val="0"/>
        </w:rPr>
      </w:pPr>
      <w:r>
        <w:rPr>
          <w:rStyle w:val="1292"/>
          <w:b w:val="0"/>
        </w:rPr>
        <w:t xml:space="preserve">Объем и порядок обслуживания ИС должны определяться эксплуатационной документацией в части используемых технических средств и программных продуктов.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24"/>
        <w:rPr>
          <w:rStyle w:val="1292"/>
          <w:b w:val="0"/>
        </w:rPr>
      </w:pPr>
      <w:r>
        <w:rPr>
          <w:rStyle w:val="1292"/>
          <w:b w:val="0"/>
        </w:rPr>
        <w:t xml:space="preserve">Задачи по эксплуатации должны автоматизироваться средствами СУЭ ФК.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24"/>
        <w:rPr>
          <w:rStyle w:val="1292"/>
          <w:b w:val="0"/>
        </w:rPr>
      </w:pPr>
      <w:r>
        <w:rPr>
          <w:rStyle w:val="1292"/>
          <w:b w:val="0"/>
        </w:rPr>
        <w:t xml:space="preserve">При техническом проектировании должны быть разработаны требования к условиям поддержки производителем технических и программных средств, на базе которых создается ИС.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24"/>
        <w:rPr>
          <w:rStyle w:val="1292"/>
          <w:b w:val="0"/>
        </w:rPr>
      </w:pPr>
      <w:r>
        <w:rPr>
          <w:rStyle w:val="1292"/>
          <w:b w:val="0"/>
        </w:rPr>
        <w:t xml:space="preserve">Д</w:t>
      </w:r>
      <w:r>
        <w:rPr>
          <w:rStyle w:val="1292"/>
          <w:b w:val="0"/>
        </w:rPr>
        <w:t xml:space="preserve">ля обеспечения оперативного восстановления и регламентного технического обслуживания оборудования ИС должны быть разработаны рекомендации по составу комплекта запасных изделий и приборов (ЗИП), обеспечивающих достижение заданных показателей надежности ИС. 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24"/>
        <w:rPr>
          <w:rStyle w:val="1292"/>
          <w:b w:val="0"/>
        </w:rPr>
      </w:pPr>
      <w:r>
        <w:rPr>
          <w:rStyle w:val="1292"/>
          <w:b w:val="0"/>
        </w:rPr>
        <w:t xml:space="preserve">Решения и рекомендации в части эксплуатации ИС должны соответствовать требованиям действующего у Заказчика ПЭиТО.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66"/>
        <w:rPr>
          <w:rStyle w:val="1293"/>
        </w:rPr>
      </w:pPr>
      <w:r>
        <w:rPr>
          <w:rStyle w:val="1293"/>
        </w:rPr>
        <w:t xml:space="preserve">Также в настоящем разделе могут приводиться дополнительные требования к эксплуатации, касающиеся сопровождения, технического обслуживания, ремонта, хранения компонентов, вывода из эксплуатации ИС и т.п., в частности: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дополнительные условия и регламенты эксплуатации, которые должны обеспечивать использование ИС с заданными в ТЗ показателями, в том числе виды и периодичность обслуживания компонентов ИС или допустимость их работы без обслуживания;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предварительные требования к допустимым площадям для размещения персонала и технических средств ИС;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сетям и параметрам электроснабжения и электропитания (в частности, требовани</w:t>
      </w:r>
      <w:r>
        <w:rPr>
          <w:rStyle w:val="1293"/>
        </w:rPr>
        <w:t xml:space="preserve">я к наличию резервных линий электроснабжения, к общей надёжности системы электропитания и наличию средств централизованного гарантийного и бесперебойного электропитания, требования к минимальному времени автономной работы при сбоях в электросетях и т.д.);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составу, размещению и условиям хранения комплекта запасных частей, инструмента и принадлежностей;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размещению дистрибутивов ИС и резервных копий, которые могут быть востребованы при эксплуатации ИС;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регламенту технического обслуживания;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мониторингу</w:t>
      </w:r>
      <w:r>
        <w:rPr>
          <w:rStyle w:val="1293"/>
        </w:rPr>
        <w:t xml:space="preserve"> ИС </w:t>
      </w:r>
      <w:r>
        <w:rPr>
          <w:rStyle w:val="1293"/>
        </w:rPr>
        <w:t xml:space="preserve">средствами СУЭ</w:t>
      </w:r>
      <w:r>
        <w:rPr>
          <w:rStyle w:val="1293"/>
        </w:rPr>
        <w:t xml:space="preserve"> ФК;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модели сопровождения ИС и времени сопровождения ИС (времени работы группы сопровождения), рекомендуемое время проведения регламентных и профилактических работ.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41" w:name="_Toc2762775"/>
      <w:r/>
      <w:bookmarkStart w:id="42" w:name="_Toc478556818"/>
      <w:r>
        <w:rPr>
          <w:rFonts w:ascii="Times New Roman" w:hAnsi="Times New Roman"/>
        </w:rPr>
        <w:t xml:space="preserve">Требования к защите информации от несанкционированного доступа</w:t>
      </w:r>
      <w:bookmarkEnd w:id="41"/>
      <w:r/>
      <w:bookmarkEnd w:id="42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  <w:numPr>
          <w:ilvl w:val="0"/>
          <w:numId w:val="0"/>
        </w:numPr>
        <w:rPr>
          <w:i/>
        </w:rPr>
      </w:pPr>
      <w:r>
        <w:rPr>
          <w:i/>
        </w:rPr>
        <w:t xml:space="preserve">В настоящем разделе приводят</w:t>
      </w:r>
      <w:r>
        <w:rPr>
          <w:i/>
        </w:rPr>
        <w:t xml:space="preserve"> требования к СЗИ, которые необходимо выполнить либо при создании СЗИ ИС ФК, либо при развитии СЗИ ИС ФК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224"/>
      </w:pPr>
      <w:r>
        <w:t xml:space="preserve">Защита информации ИС от несанкционированного доступа должна обеспечиваться средствами </w:t>
      </w:r>
      <w:r>
        <w:t xml:space="preserve">Системы обеспечения безопасности информации Федерального казначейства (далее – СОБИ ФК)</w:t>
      </w:r>
      <w:r>
        <w:t xml:space="preserve">.</w:t>
      </w:r>
      <w:r/>
    </w:p>
    <w:p>
      <w:pPr>
        <w:pStyle w:val="1224"/>
      </w:pPr>
      <w:r>
        <w:t xml:space="preserve"> Требования к системе защиты информации при создании ИС ФК.</w:t>
      </w:r>
      <w:r/>
    </w:p>
    <w:p>
      <w:pPr>
        <w:pStyle w:val="1295"/>
        <w:numPr>
          <w:ilvl w:val="3"/>
          <w:numId w:val="24"/>
        </w:numPr>
        <w:spacing w:line="360" w:lineRule="auto"/>
        <w:widowControl w:val="off"/>
        <w:rPr>
          <w:color w:val="auto"/>
          <w:szCs w:val="28"/>
        </w:rPr>
      </w:pPr>
      <w:r>
        <w:rPr>
          <w:szCs w:val="28"/>
        </w:rPr>
        <w:t xml:space="preserve">Должны быть предъявлены требования </w:t>
      </w:r>
      <w:r>
        <w:rPr>
          <w:szCs w:val="28"/>
        </w:rPr>
        <w:t xml:space="preserve">по</w:t>
      </w:r>
      <w:r>
        <w:rPr>
          <w:szCs w:val="28"/>
        </w:rPr>
        <w:t xml:space="preserve"> предварительной классификации ИС по требованиям защиты информации, включающие в себя</w:t>
      </w:r>
      <w:r>
        <w:rPr>
          <w:szCs w:val="28"/>
        </w:rPr>
        <w:t xml:space="preserve">: </w:t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pStyle w:val="1224"/>
        <w:numPr>
          <w:ilvl w:val="0"/>
          <w:numId w:val="0"/>
        </w:numPr>
        <w:ind w:left="851"/>
        <w:spacing w:line="360" w:lineRule="auto"/>
        <w:widowControl w:val="off"/>
        <w:tabs>
          <w:tab w:val="left" w:pos="1134" w:leader="none"/>
        </w:tabs>
        <w:rPr>
          <w:color w:val="auto"/>
          <w:szCs w:val="28"/>
        </w:rPr>
      </w:pPr>
      <w:r>
        <w:rPr>
          <w:szCs w:val="28"/>
        </w:rPr>
        <w:t xml:space="preserve">а) </w:t>
      </w:r>
      <w:r>
        <w:rPr>
          <w:color w:val="auto"/>
          <w:szCs w:val="28"/>
        </w:rPr>
        <w:t xml:space="preserve">разработку проекта документа «Акт классификации ИС ФК по требованиям защиты информации», оформленный в соответствии с требованиями о защите информации, не составляющей государственную</w:t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тайну, содержащейся в государственных информационных системах, утверждёнными приказом ФСТЭК России от 11.02.2013 № 17, и содержать, как минимум, следующую информацию:</w:t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numPr>
          <w:ilvl w:val="0"/>
          <w:numId w:val="25"/>
        </w:numPr>
        <w:ind w:left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правовое основание отнесения информационной системы к государственным информационным системам;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5"/>
        </w:numPr>
        <w:ind w:left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степень возможного ущерба (высокая, средняя, низкая) от нарушения конфиде</w:t>
      </w:r>
      <w:r>
        <w:rPr>
          <w:color w:val="auto"/>
          <w:sz w:val="28"/>
          <w:szCs w:val="28"/>
        </w:rPr>
        <w:t xml:space="preserve">нциальности (неправомерные доступ, копирование, предоставление или распространение), целостности (неправомерные уничтожение или модифицирование), доступности (неправомерное блокирование) информации при её обработке в государственной информационной системе;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5"/>
        </w:numPr>
        <w:ind w:left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масштаб системы (федеральный, региональный, объектовый);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5"/>
        </w:numPr>
        <w:ind w:left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предлагаемый к установлению класс защищённости государственной информационной системы;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5"/>
        </w:numPr>
        <w:ind w:left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оценка необходимости сегментации государственной информационной системы и раздельной классификации её сегментов;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5"/>
        </w:numPr>
        <w:ind w:left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оценка необходимости применении мер защиты информации, обеспечивающих защиту от угроз безопасности информации, реализуемых нарушителями с более высоким потенциалом, чем соответствует предлагаемому к установлению классу защищённости (при необходимости).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</w:t>
      </w:r>
      <w:r>
        <w:rPr>
          <w:color w:val="auto"/>
          <w:sz w:val="28"/>
          <w:szCs w:val="28"/>
        </w:rPr>
        <w:t xml:space="preserve">разработ</w:t>
      </w:r>
      <w:r>
        <w:rPr>
          <w:color w:val="auto"/>
          <w:sz w:val="28"/>
          <w:szCs w:val="28"/>
        </w:rPr>
        <w:t xml:space="preserve">ку</w:t>
      </w:r>
      <w:r>
        <w:rPr>
          <w:color w:val="auto"/>
          <w:sz w:val="28"/>
          <w:szCs w:val="28"/>
        </w:rPr>
        <w:t xml:space="preserve"> проект</w:t>
      </w:r>
      <w:r>
        <w:rPr>
          <w:color w:val="auto"/>
          <w:sz w:val="28"/>
          <w:szCs w:val="28"/>
        </w:rPr>
        <w:t xml:space="preserve">а</w:t>
      </w:r>
      <w:r>
        <w:rPr>
          <w:color w:val="auto"/>
          <w:sz w:val="28"/>
          <w:szCs w:val="28"/>
        </w:rPr>
        <w:t xml:space="preserve"> документа «Акт оценки уровня защищённости персональных данных при их обработке в ИС ФК», оформленный </w:t>
      </w:r>
      <w:r>
        <w:rPr>
          <w:color w:val="auto"/>
          <w:sz w:val="28"/>
          <w:szCs w:val="28"/>
        </w:rPr>
        <w:t xml:space="preserve">в соответствии с требованиями к защите персональных данных при их обработке в информационных системах персональных данных, утверждёнными Постановлением Правительства Российской Федерации от 01.11.2012 № 1119, и содержать, как минимум, следующую информацию: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6"/>
        </w:numPr>
        <w:ind w:left="851" w:firstLine="0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основание отнесения информационной системы к информационным системам персональных данных;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6"/>
        </w:numPr>
        <w:ind w:left="851" w:firstLine="0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тип актуальных для информационной системы персональных данных угроз (первый, второй, третий);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6"/>
        </w:numPr>
        <w:ind w:left="851" w:firstLine="0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количество субъектов персональных данных, персональные данные которых обрабатываются в информационной системе персональных данных (до 100 000, более чем 100 000);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6"/>
        </w:numPr>
        <w:ind w:left="851" w:firstLine="0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категории обрабатываемых персональных данных (специальные, биометрические, общедоступные, иные);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6"/>
        </w:numPr>
        <w:ind w:left="851" w:firstLine="0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предлагаемый к установлению уровень защищённости персональных данных при их обработке в информационной системе персональных данных.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</w:t>
      </w:r>
      <w:r>
        <w:rPr>
          <w:color w:val="auto"/>
          <w:sz w:val="28"/>
          <w:szCs w:val="28"/>
        </w:rPr>
        <w:t xml:space="preserve">разработку проекта документа </w:t>
      </w:r>
      <w:r>
        <w:rPr>
          <w:color w:val="auto"/>
          <w:sz w:val="28"/>
          <w:szCs w:val="28"/>
        </w:rPr>
        <w:t xml:space="preserve">«Акт классификации ИС ФК как информационной системы общего по</w:t>
      </w:r>
      <w:r>
        <w:rPr>
          <w:color w:val="auto"/>
          <w:sz w:val="28"/>
          <w:szCs w:val="28"/>
        </w:rPr>
        <w:t xml:space="preserve">льзования», оформленный в соответствии с требованиями о защите информации, содержащейся в информационных системах общего пользования, утверждёнными приказом ФСБ России № 416, ФСТЭК России № 489 от 31.08.2010, и содержать, как минимум, следующую информацию: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7"/>
        </w:numPr>
        <w:ind w:left="851"/>
        <w:spacing w:line="360" w:lineRule="auto"/>
        <w:widowControl w:val="off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правовое основание отнесения информационной системы к государственным информационным системам;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7"/>
        </w:numPr>
        <w:ind w:left="851"/>
        <w:spacing w:line="360" w:lineRule="auto"/>
        <w:widowControl w:val="off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правовое основание (либо иное подтверждение) обработки в информационной системе исключительно общедоступной информации;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7"/>
        </w:numPr>
        <w:ind w:left="851"/>
        <w:spacing w:line="360" w:lineRule="auto"/>
        <w:widowControl w:val="off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правовое основание (либо иное подтверждение) возникновения угроз безопасности Российской Федерации в случае нарушения целостности и доступности информации, содержащейся в информационной системе;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27"/>
        </w:numPr>
        <w:ind w:left="851"/>
        <w:spacing w:line="360" w:lineRule="auto"/>
        <w:widowControl w:val="off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предлагаемый к установлению класс информационной системы общего пользования (при необходимости).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одновременной необходимости отнесения информационной системы к ин</w:t>
      </w:r>
      <w:r>
        <w:rPr>
          <w:color w:val="auto"/>
          <w:sz w:val="28"/>
          <w:szCs w:val="28"/>
        </w:rPr>
        <w:t xml:space="preserve">формационным системам общего пользования и обработки конфиденциальной информации указать конкретный сегмент (подсистему, компонент, модуль) информационной системы, для которого необходимо реализовать требования к информационным системам общего пользования.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1295"/>
        <w:numPr>
          <w:ilvl w:val="3"/>
          <w:numId w:val="24"/>
        </w:numPr>
        <w:spacing w:line="360" w:lineRule="auto"/>
        <w:widowControl w:val="off"/>
        <w:rPr>
          <w:szCs w:val="28"/>
        </w:rPr>
      </w:pPr>
      <w:r>
        <w:rPr>
          <w:szCs w:val="28"/>
        </w:rPr>
        <w:t xml:space="preserve">Должны быть предъявлены требования по разработке проект</w:t>
      </w:r>
      <w:r>
        <w:rPr>
          <w:szCs w:val="28"/>
        </w:rPr>
        <w:t xml:space="preserve">а</w:t>
      </w:r>
      <w:r>
        <w:rPr>
          <w:szCs w:val="28"/>
        </w:rPr>
        <w:t xml:space="preserve"> документа «Модель угроз безопасности информации при её обработке в ИС ФК», содержащ</w:t>
      </w:r>
      <w:r>
        <w:rPr>
          <w:szCs w:val="28"/>
        </w:rPr>
        <w:t xml:space="preserve">его</w:t>
      </w:r>
      <w:r>
        <w:rPr>
          <w:szCs w:val="28"/>
        </w:rPr>
        <w:t xml:space="preserve">, как минимум, следующую информацию:</w:t>
      </w:r>
      <w:r>
        <w:rPr>
          <w:szCs w:val="28"/>
        </w:rPr>
      </w:r>
      <w:r>
        <w:rPr>
          <w:szCs w:val="28"/>
        </w:rPr>
      </w:r>
    </w:p>
    <w:p>
      <w:pPr>
        <w:numPr>
          <w:ilvl w:val="0"/>
          <w:numId w:val="28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описание информационной системы;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8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структурно-функциональные характеристики информационной системы, включающие </w:t>
      </w:r>
      <w:r>
        <w:rPr>
          <w:sz w:val="28"/>
          <w:szCs w:val="28"/>
        </w:rPr>
        <w:t xml:space="preserve">структуру и состав информационной системы, физические, логические, функциональные и технологические взаимосвязи между сегментами информационной системы, с иными информационными системами и информационно-телекоммуникационными сетями, режимы обработки информ</w:t>
      </w:r>
      <w:r>
        <w:rPr>
          <w:sz w:val="28"/>
          <w:szCs w:val="28"/>
        </w:rPr>
        <w:t xml:space="preserve">ации в информационной системе и в ее отдельных сегментах, а также иные характеристики информационной системы, применяемые информационные технологии и особенности ее функционирования (далее — структурно-функциональные характеристики информационной системы);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8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описание угроз безопасности информации;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8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описание возможностей нарушителей (модель нарушителя);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8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описание возможных уязвимостей информационной системы;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8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описание способов реализации угроз безопасности информации;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8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описание последствий от нарушения свойств безопасности информации;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8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оценка необходимости корректировки структурно-функциональных характеристик информационной системы.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качестве исходных данных для определения угроз безопасности информации должен использоваться Банк данных угроз безопасности информации (bdu.fstec.ru).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Определение возможностей нарушителя должно быть осуществлено с учётом класса защищённости государственной информационной системы.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Моделирование угроз должно осуществляться с учётом структурно-функциональных характеристик информационной системы.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Для определения угроз безопасности информации и разработки проекта документа «Модель угроз безопасности информации при её обработке в ИС ФК» должны применяться методические документы, разработанные и утвержденные ФСТЭК России.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Рекомендации по корректировке структурно-функциональных характеристик информационной системы, направле</w:t>
      </w:r>
      <w:r>
        <w:rPr>
          <w:sz w:val="28"/>
          <w:szCs w:val="28"/>
        </w:rPr>
        <w:t xml:space="preserve">нные на блокирование (нейтрализацию) отдельных угроз безопасности информации, в случае их необходимости (определяется Исполнителем) должны быть оформлены в виде приложения к проекту документа «Модель угроз безопасности информации при её обработке в ИС ФК».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Так же д</w:t>
      </w:r>
      <w:r>
        <w:rPr>
          <w:sz w:val="28"/>
          <w:szCs w:val="28"/>
        </w:rPr>
        <w:t xml:space="preserve">олжны быть предъявлены требования по разработке проекта документа</w:t>
      </w:r>
      <w:r>
        <w:rPr>
          <w:sz w:val="28"/>
          <w:szCs w:val="28"/>
        </w:rPr>
        <w:t xml:space="preserve"> «Модель нарушителя средств криптографической защиты информации»</w:t>
      </w:r>
      <w:r>
        <w:rPr>
          <w:sz w:val="28"/>
          <w:szCs w:val="28"/>
        </w:rPr>
        <w:t xml:space="preserve"> который</w:t>
      </w:r>
      <w:r>
        <w:rPr>
          <w:sz w:val="28"/>
          <w:szCs w:val="28"/>
        </w:rPr>
        <w:t xml:space="preserve"> должен содержать, как минимум, предположения о возможностях, которые могут использоваться при создании способов, подготовке и проведении атак, и определение на этой основе и с учетом типа актуальных угроз требуемого класса СКЗИ.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Проект документа «Модель нарушителя средств криптографической защиты информации» должен быть оформлен в виде приложения к проекту документа «Модель угроз безопасности информации при её обработке в ИС ФК».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95"/>
        <w:numPr>
          <w:ilvl w:val="3"/>
          <w:numId w:val="24"/>
        </w:numPr>
        <w:spacing w:line="360" w:lineRule="auto"/>
        <w:widowControl w:val="off"/>
        <w:rPr>
          <w:szCs w:val="28"/>
        </w:rPr>
      </w:pPr>
      <w:r>
        <w:rPr>
          <w:szCs w:val="28"/>
        </w:rPr>
        <w:t xml:space="preserve">Должны быть предъявлены требования по разработке проекта документа </w:t>
      </w:r>
      <w:r>
        <w:rPr>
          <w:szCs w:val="28"/>
        </w:rPr>
        <w:t xml:space="preserve">«Частное техническое задание на создание СЗИ ИС ФК</w:t>
      </w:r>
      <w:r>
        <w:rPr>
          <w:szCs w:val="28"/>
        </w:rPr>
        <w:t xml:space="preserve">»,</w:t>
      </w:r>
      <w:r>
        <w:rPr>
          <w:szCs w:val="28"/>
        </w:rPr>
        <w:t xml:space="preserve"> </w:t>
      </w:r>
      <w:r>
        <w:rPr>
          <w:szCs w:val="28"/>
        </w:rPr>
        <w:t xml:space="preserve">который должен содержать,</w:t>
      </w:r>
      <w:r>
        <w:rPr>
          <w:szCs w:val="28"/>
        </w:rPr>
        <w:t xml:space="preserve"> как минимум, следующую информацию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numPr>
          <w:ilvl w:val="0"/>
          <w:numId w:val="29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цель и задачи обеспечения защиты информации в информационной системе;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9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класс защищенности информационной системы;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9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перечень нормативных правовых актов, методических документов и национальных стандартов, которым должна соответствовать информационная система;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9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перечень объектов защиты информационной системы;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9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требования к мерам и средствам защиты информации, применяемым в информационной системе;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9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стадии (этапы работ) создания системы защиты информационной системы;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9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требования к поставляемым техническим средствам, программному обеспечению, средствам защиты информации;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9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функции заказчика и оператора по обеспечению защиты информации в информационной системе;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9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требования к защите средств и систем, обеспечивающих функционирование информационной системы (обеспечивающей инфраструктуре);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9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требования к защите информации при информационном взаимодействии с иными </w:t>
      </w:r>
      <w:r>
        <w:rPr>
          <w:sz w:val="28"/>
          <w:szCs w:val="28"/>
        </w:rPr>
        <w:t xml:space="preserve">информационными системами и информационно-телекоммуникационными сетями, в том числе с информационными системами уполномоченного лица, а также при применении вычислительных ресурсов (мощностей), предоставляемых уполномоченным лицом для обработки информации.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Так же п</w:t>
      </w:r>
      <w:r>
        <w:rPr>
          <w:sz w:val="28"/>
          <w:szCs w:val="28"/>
        </w:rPr>
        <w:t xml:space="preserve">роект документа «Частное техническое задание на со</w:t>
      </w:r>
      <w:r>
        <w:rPr>
          <w:sz w:val="28"/>
          <w:szCs w:val="28"/>
        </w:rPr>
        <w:t xml:space="preserve">здание СЗИ ИС ФК» должен содержать требования к СЗИ, определяемые в зависимости от установленного класса защищённости и актуальных угроз безопасности информации, включённых в проект документа «Модель угроз безопасности информации при её обработке в ИС ФК».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95"/>
        <w:numPr>
          <w:ilvl w:val="3"/>
          <w:numId w:val="24"/>
        </w:numPr>
        <w:spacing w:line="360" w:lineRule="auto"/>
        <w:widowControl w:val="off"/>
        <w:rPr>
          <w:szCs w:val="28"/>
        </w:rPr>
      </w:pPr>
      <w:r>
        <w:rPr>
          <w:bCs/>
          <w:szCs w:val="28"/>
        </w:rPr>
        <w:t xml:space="preserve">Должны быть предъявлены требования по р</w:t>
      </w:r>
      <w:r>
        <w:rPr>
          <w:bCs/>
          <w:szCs w:val="28"/>
        </w:rPr>
        <w:t xml:space="preserve">азработке проекта документа </w:t>
      </w:r>
      <w:r>
        <w:rPr>
          <w:szCs w:val="28"/>
        </w:rPr>
        <w:t xml:space="preserve">«Пояснительная записка к техническому проекту на создание СЗИ ИС ФК», который содержит, как минимум, следующую информацию:</w:t>
      </w:r>
      <w:r>
        <w:rPr>
          <w:szCs w:val="28"/>
        </w:rPr>
      </w:r>
      <w:r>
        <w:rPr>
          <w:szCs w:val="28"/>
        </w:rPr>
      </w:r>
    </w:p>
    <w:p>
      <w:pPr>
        <w:numPr>
          <w:ilvl w:val="0"/>
          <w:numId w:val="30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методы управления доступом (дискреционный, мандатный, ролевой или </w:t>
      </w:r>
      <w:r>
        <w:rPr>
          <w:sz w:val="28"/>
          <w:szCs w:val="28"/>
        </w:rPr>
        <w:t xml:space="preserve">иные методы), типы доступа (чтение, запись, выполнение или иные типы доступа) и правила разграничения доступа субъектов доступа к объектам доступа (на основе списков, меток безопасности, ролей и иных правил), подлежащие реализации в информационной системе;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0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меры защиты информации, подлежащие реализации в информационной системе;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0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виды и типы средств защиты информации, обеспечивающие реализацию технических мер защиты информации;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0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структура системы защиты информации информационной системы, включая состав (количество) и места размещения ее элементов;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0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требования к параметрам настройки </w:t>
      </w:r>
      <w:r>
        <w:rPr>
          <w:sz w:val="28"/>
          <w:szCs w:val="28"/>
        </w:rPr>
        <w:t xml:space="preserve">программного обеспечения, включая программное обеспечение средств защиты информации, обеспечивающие реализацию мер защиты информации, а также устранение возможных уязвимостей информационной системы, приводящих к возникновению угроз безопасности информации;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0"/>
        </w:numPr>
        <w:ind w:left="851" w:firstLine="0"/>
        <w:spacing w:line="360" w:lineRule="auto"/>
        <w:widowControl w:val="off"/>
        <w:tabs>
          <w:tab w:val="num" w:pos="85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меры защиты информации при информационном взаимодействии с иными </w:t>
      </w:r>
      <w:r>
        <w:rPr>
          <w:sz w:val="28"/>
          <w:szCs w:val="28"/>
        </w:rPr>
        <w:t xml:space="preserve">информационными системами и информационно-телекоммуникационными сетями, в том числе с информационными системами уполномоченного лица, а также при применении вычислительных ресурсов (мощностей), предоставляемых уполномоченным лицом для обработки информации.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295"/>
        <w:numPr>
          <w:ilvl w:val="3"/>
          <w:numId w:val="24"/>
        </w:numPr>
        <w:spacing w:line="360" w:lineRule="auto"/>
        <w:widowControl w:val="off"/>
        <w:rPr>
          <w:color w:val="auto"/>
          <w:szCs w:val="28"/>
        </w:rPr>
      </w:pPr>
      <w:r>
        <w:rPr>
          <w:bCs/>
          <w:szCs w:val="28"/>
        </w:rPr>
        <w:t xml:space="preserve">Должны быть предъявлены требования по разработке проекта </w:t>
      </w:r>
      <w:r>
        <w:rPr>
          <w:color w:val="auto"/>
          <w:szCs w:val="28"/>
        </w:rPr>
        <w:t xml:space="preserve">комплекта эксплуатационной документации на СЗИ ИС ФК</w:t>
      </w:r>
      <w:r>
        <w:rPr>
          <w:color w:val="auto"/>
          <w:szCs w:val="28"/>
        </w:rPr>
        <w:t xml:space="preserve">,</w:t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который </w:t>
      </w:r>
      <w:r>
        <w:rPr>
          <w:color w:val="auto"/>
          <w:szCs w:val="28"/>
        </w:rPr>
        <w:t xml:space="preserve">содерж</w:t>
      </w:r>
      <w:r>
        <w:rPr>
          <w:color w:val="auto"/>
          <w:szCs w:val="28"/>
        </w:rPr>
        <w:t xml:space="preserve">ит</w:t>
      </w:r>
      <w:r>
        <w:rPr>
          <w:color w:val="auto"/>
          <w:szCs w:val="28"/>
        </w:rPr>
        <w:t xml:space="preserve">, как минимум, следующую информацию:</w:t>
      </w:r>
      <w:r>
        <w:rPr>
          <w:color w:val="auto"/>
          <w:szCs w:val="28"/>
        </w:rPr>
      </w:r>
      <w:r>
        <w:rPr>
          <w:color w:val="auto"/>
          <w:szCs w:val="28"/>
        </w:rPr>
      </w:r>
    </w:p>
    <w:p>
      <w:pPr>
        <w:numPr>
          <w:ilvl w:val="0"/>
          <w:numId w:val="31"/>
        </w:numPr>
        <w:ind w:left="851"/>
        <w:spacing w:line="360" w:lineRule="auto"/>
        <w:widowControl w:val="off"/>
        <w:tabs>
          <w:tab w:val="num" w:pos="851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описание структуры системы (подсистемы) защиты информации информационной системы;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31"/>
        </w:numPr>
        <w:ind w:left="851"/>
        <w:spacing w:line="360" w:lineRule="auto"/>
        <w:widowControl w:val="off"/>
        <w:tabs>
          <w:tab w:val="num" w:pos="851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описание состава, мест установки, параметров и порядка настройки средств защиты информации, программного обеспечения и технических средств;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31"/>
        </w:numPr>
        <w:ind w:left="851"/>
        <w:spacing w:line="360" w:lineRule="auto"/>
        <w:widowControl w:val="off"/>
        <w:tabs>
          <w:tab w:val="num" w:pos="851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описание правил эксплуатации системы (подсистемы) защиты информации информационной системы.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Проект комплекта эксплуатационной документации на СЗИ ИС ФК должен быть разработан в соответствии с документом «Частное техническое задание на создание СЗИ ИС ФК»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 же д</w:t>
      </w:r>
      <w:r>
        <w:rPr>
          <w:color w:val="auto"/>
          <w:sz w:val="28"/>
          <w:szCs w:val="28"/>
        </w:rPr>
        <w:t xml:space="preserve">олжны быть предъявлены требования по разработке проекта </w:t>
      </w:r>
      <w:r>
        <w:rPr>
          <w:color w:val="auto"/>
          <w:sz w:val="28"/>
          <w:szCs w:val="28"/>
        </w:rPr>
        <w:t xml:space="preserve">комплекта организационно-распорядительных документов по информационной безопасности в ИС ФК, определяющих правила и процедуры, реализуемые для обеспечения защиты информации в информационной системе в ходе её эксплуатации</w:t>
      </w:r>
      <w:r>
        <w:rPr>
          <w:color w:val="auto"/>
          <w:sz w:val="28"/>
          <w:szCs w:val="28"/>
        </w:rPr>
        <w:t xml:space="preserve">,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которые </w:t>
      </w:r>
      <w:r>
        <w:rPr>
          <w:color w:val="auto"/>
          <w:sz w:val="28"/>
          <w:szCs w:val="28"/>
        </w:rPr>
        <w:t xml:space="preserve">содержа</w:t>
      </w:r>
      <w:r>
        <w:rPr>
          <w:color w:val="auto"/>
          <w:sz w:val="28"/>
          <w:szCs w:val="28"/>
        </w:rPr>
        <w:t xml:space="preserve">т</w:t>
      </w:r>
      <w:r>
        <w:rPr>
          <w:color w:val="auto"/>
          <w:sz w:val="28"/>
          <w:szCs w:val="28"/>
        </w:rPr>
        <w:t xml:space="preserve">, как минимум, следующую информацию: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32"/>
        </w:numPr>
        <w:ind w:left="851" w:firstLine="0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и процедуры управления (администрирования) системой (подсистемой) защиты информации информационной системы;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32"/>
        </w:numPr>
        <w:ind w:left="851" w:firstLine="0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и процедуры выявления инцидентов (одного события или группы событий), которые могут привести к сбоям или нарушению функционирования ИС ФК и (или) к возникновению угроз безопасности информации и реагирования на них;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32"/>
        </w:numPr>
        <w:ind w:left="851" w:firstLine="0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и процедуры управления конфигурацией аттестованной информационной системы и системы (подсистемы) защиты информации информационной системы;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32"/>
        </w:numPr>
        <w:ind w:left="851" w:firstLine="0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и процедуры контроля (мониторинга) за обеспечением уровня защищенности информации, содержащейся в информационной системе;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32"/>
        </w:numPr>
        <w:ind w:left="851" w:firstLine="0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и процедуры защиты информации при выводе из эксплуатации информационной системы или после принятия решения об окончании обработки информации;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numPr>
          <w:ilvl w:val="0"/>
          <w:numId w:val="32"/>
        </w:numPr>
        <w:ind w:left="851" w:firstLine="0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и процедуры реализации мер защиты информации в соответствии с требованиями Методического документа «Меры защиты информации в государственных информационных системах» (утвержден ФСТЭК России 11.02.2014 г.).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1295"/>
        <w:numPr>
          <w:ilvl w:val="3"/>
          <w:numId w:val="24"/>
        </w:numPr>
        <w:spacing w:line="360" w:lineRule="auto"/>
        <w:widowControl w:val="off"/>
      </w:pPr>
      <w:r>
        <w:rPr>
          <w:szCs w:val="28"/>
        </w:rPr>
        <w:t xml:space="preserve">Должны быть предъявлены требования по </w:t>
      </w:r>
      <w:r>
        <w:rPr>
          <w:szCs w:val="28"/>
        </w:rPr>
        <w:t xml:space="preserve">прове</w:t>
      </w:r>
      <w:r>
        <w:rPr>
          <w:szCs w:val="28"/>
        </w:rPr>
        <w:t xml:space="preserve">дению</w:t>
      </w:r>
      <w:r>
        <w:rPr>
          <w:szCs w:val="28"/>
        </w:rPr>
        <w:t xml:space="preserve"> комплексны</w:t>
      </w:r>
      <w:r>
        <w:rPr>
          <w:szCs w:val="28"/>
        </w:rPr>
        <w:t xml:space="preserve">х</w:t>
      </w:r>
      <w:r>
        <w:rPr>
          <w:szCs w:val="28"/>
        </w:rPr>
        <w:t xml:space="preserve"> предварительны</w:t>
      </w:r>
      <w:r>
        <w:rPr>
          <w:szCs w:val="28"/>
        </w:rPr>
        <w:t xml:space="preserve">х</w:t>
      </w:r>
      <w:r>
        <w:rPr>
          <w:szCs w:val="28"/>
        </w:rPr>
        <w:t xml:space="preserve"> испытани</w:t>
      </w:r>
      <w:r>
        <w:rPr>
          <w:szCs w:val="28"/>
        </w:rPr>
        <w:t xml:space="preserve">й </w:t>
      </w:r>
      <w:r>
        <w:rPr>
          <w:szCs w:val="28"/>
        </w:rPr>
        <w:t xml:space="preserve">СЗИ ИС ФК</w:t>
      </w:r>
      <w:r>
        <w:rPr>
          <w:szCs w:val="28"/>
        </w:rPr>
        <w:t xml:space="preserve">, которые </w:t>
      </w:r>
      <w:r>
        <w:rPr>
          <w:szCs w:val="28"/>
        </w:rPr>
        <w:t xml:space="preserve">включают </w:t>
      </w:r>
      <w:r>
        <w:rPr>
          <w:szCs w:val="28"/>
        </w:rPr>
        <w:t xml:space="preserve">в себя </w:t>
      </w:r>
      <w:r>
        <w:rPr>
          <w:szCs w:val="28"/>
        </w:rPr>
        <w:t xml:space="preserve">проверку работоспособности СЗИ ИС ФК, а также принятие решения о возможности опытной эксплуатации СЗИ ИС ФК</w:t>
      </w:r>
      <w:r>
        <w:rPr>
          <w:szCs w:val="28"/>
        </w:rPr>
        <w:t xml:space="preserve">.</w:t>
      </w:r>
      <w:r/>
    </w:p>
    <w:p>
      <w:pPr>
        <w:pStyle w:val="1295"/>
        <w:numPr>
          <w:ilvl w:val="3"/>
          <w:numId w:val="24"/>
        </w:numPr>
        <w:spacing w:line="360" w:lineRule="auto"/>
        <w:widowControl w:val="off"/>
        <w:rPr>
          <w:szCs w:val="28"/>
        </w:rPr>
      </w:pPr>
      <w:r>
        <w:rPr>
          <w:szCs w:val="28"/>
        </w:rPr>
        <w:t xml:space="preserve">Должны быть</w:t>
      </w:r>
      <w:r>
        <w:rPr>
          <w:szCs w:val="28"/>
        </w:rPr>
        <w:t xml:space="preserve"> предъявлены требования по проведению опытной эксплуатации СЗИ ИС ФК, которая включает в себя проверку функционирования СЗИ ИС ФК, в том числе реализованных мер защиты информации, а также готовность пользователей и администраторов к эксплуатации СЗИ ИС ФК.</w:t>
      </w:r>
      <w:r>
        <w:rPr>
          <w:szCs w:val="28"/>
        </w:rPr>
      </w:r>
      <w:r>
        <w:rPr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Так же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олжны быть предъявлены требования по проведению</w:t>
      </w:r>
      <w:r>
        <w:rPr>
          <w:szCs w:val="28"/>
        </w:rPr>
        <w:t xml:space="preserve"> </w:t>
      </w:r>
      <w:r>
        <w:rPr>
          <w:color w:val="auto"/>
          <w:sz w:val="28"/>
          <w:szCs w:val="28"/>
        </w:rPr>
        <w:t xml:space="preserve">а</w:t>
      </w:r>
      <w:r>
        <w:rPr>
          <w:color w:val="auto"/>
          <w:sz w:val="28"/>
          <w:szCs w:val="28"/>
        </w:rPr>
        <w:t xml:space="preserve">нализ</w:t>
      </w:r>
      <w:r>
        <w:rPr>
          <w:color w:val="auto"/>
          <w:sz w:val="28"/>
          <w:szCs w:val="28"/>
        </w:rPr>
        <w:t xml:space="preserve">а</w:t>
      </w:r>
      <w:r>
        <w:rPr>
          <w:color w:val="auto"/>
          <w:sz w:val="28"/>
          <w:szCs w:val="28"/>
        </w:rPr>
        <w:t xml:space="preserve"> уязвимостей ИС ФК</w:t>
      </w:r>
      <w:r>
        <w:rPr>
          <w:color w:val="auto"/>
          <w:sz w:val="28"/>
          <w:szCs w:val="28"/>
        </w:rPr>
        <w:t xml:space="preserve">, который</w:t>
      </w:r>
      <w:r>
        <w:rPr>
          <w:color w:val="auto"/>
          <w:sz w:val="28"/>
          <w:szCs w:val="28"/>
        </w:rPr>
        <w:t xml:space="preserve"> включает </w:t>
      </w:r>
      <w:r>
        <w:rPr>
          <w:color w:val="auto"/>
          <w:sz w:val="28"/>
          <w:szCs w:val="28"/>
        </w:rPr>
        <w:t xml:space="preserve">в себя </w:t>
      </w:r>
      <w:r>
        <w:rPr>
          <w:color w:val="auto"/>
          <w:sz w:val="28"/>
          <w:szCs w:val="28"/>
        </w:rPr>
        <w:t xml:space="preserve">анализ уязвимостей средств защиты информации, технических средств и программного обеспечения информационной системы и проводится перед проведение</w:t>
      </w:r>
      <w:r>
        <w:rPr>
          <w:color w:val="auto"/>
          <w:sz w:val="28"/>
          <w:szCs w:val="28"/>
        </w:rPr>
        <w:t xml:space="preserve">м</w:t>
      </w:r>
      <w:r>
        <w:rPr>
          <w:color w:val="auto"/>
          <w:sz w:val="28"/>
          <w:szCs w:val="28"/>
        </w:rPr>
        <w:t xml:space="preserve"> приемоч</w:t>
      </w:r>
      <w:r>
        <w:rPr>
          <w:color w:val="auto"/>
          <w:sz w:val="28"/>
          <w:szCs w:val="28"/>
        </w:rPr>
        <w:t xml:space="preserve">ных испытаний. При анализе уязвимостей ИС ФК проверяется отсутствие известных уязвимостей средств защиты информации, технических средств и программного обеспечения, в том числе с учетом информации, имеющейся у разработчиков и полученной из других общедосту</w:t>
      </w:r>
      <w:r>
        <w:rPr>
          <w:color w:val="auto"/>
          <w:sz w:val="28"/>
          <w:szCs w:val="28"/>
        </w:rPr>
        <w:t xml:space="preserve">пных источников, правильность установки и настройки средств защиты информации, технических средств и программного обеспечения, а также корректность работы средств защиты информации при их взаимодействии с техническими средствами и программным обеспечением.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ind w:firstLine="851"/>
        <w:spacing w:line="360" w:lineRule="auto"/>
        <w:widowControl w:val="off"/>
        <w:tabs>
          <w:tab w:val="num" w:pos="993" w:leader="none"/>
        </w:tabs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выявления уязвимостей ИС ФК, приводящих к возникновению дополнительных угроз безопасности информации, проводится уточнение документа «Модель угроз безопасности информации при её обработке в ИС ФК» и, при необходимости, принимаются до</w:t>
      </w:r>
      <w:r>
        <w:rPr>
          <w:color w:val="auto"/>
          <w:sz w:val="28"/>
          <w:szCs w:val="28"/>
        </w:rPr>
        <w:t xml:space="preserve">полнительные меры защиты информации, направленные на устранение выявленных уязвимостей или исключающие возможность использования нарушителем выявленных уязвимостей. По решению Федерального казначейства анализ уязвимостей ИС ФК может быть проведен повторно.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ind w:firstLine="851"/>
        <w:spacing w:line="360" w:lineRule="auto"/>
        <w:widowControl w:val="off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Отчет о результатах анализа уязвимостей ИС ФК должен содержать список уязвимостей, определенных в документе «Модель угроз информационной безопасности системы ИС ФК», с указанием обнаружения или не обнаружения, а также заключе</w:t>
      </w:r>
      <w:r>
        <w:rPr>
          <w:color w:val="auto"/>
          <w:sz w:val="28"/>
          <w:szCs w:val="28"/>
        </w:rPr>
        <w:t xml:space="preserve">ние о правильности установки и настройки средств защиты информации, технических средств и программного обеспечения ИС ФК, корректность работы средств защиты информации ИС ФК при их взаимодействии с техническими средствами и программным обеспечением ИС ФК.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spacing w:line="360" w:lineRule="auto"/>
        <w:widowControl w:val="off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результатам</w:t>
      </w:r>
      <w:r>
        <w:rPr>
          <w:color w:val="auto"/>
          <w:sz w:val="28"/>
          <w:szCs w:val="28"/>
        </w:rPr>
        <w:t xml:space="preserve"> анализа уязвимостей должно быть подтверждено, что в ИС ФК отсутствуют уязвимости, содержащиеся в Банке данных угроз безопасности информации ФСТЭК России (bdu.fstec.ru), а также в иных источниках, или их использование (эксплуатация) нарушителем невозможно.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1295"/>
        <w:numPr>
          <w:ilvl w:val="3"/>
          <w:numId w:val="24"/>
        </w:numPr>
        <w:spacing w:line="360" w:lineRule="auto"/>
        <w:widowControl w:val="off"/>
      </w:pPr>
      <w:r>
        <w:rPr>
          <w:szCs w:val="28"/>
        </w:rPr>
        <w:t xml:space="preserve">Должны быть предъявлены требования по проведению </w:t>
      </w:r>
      <w:r>
        <w:rPr>
          <w:szCs w:val="28"/>
        </w:rPr>
        <w:t xml:space="preserve">приемочны</w:t>
      </w:r>
      <w:r>
        <w:rPr>
          <w:szCs w:val="28"/>
        </w:rPr>
        <w:t xml:space="preserve">х</w:t>
      </w:r>
      <w:r>
        <w:rPr>
          <w:szCs w:val="28"/>
        </w:rPr>
        <w:t xml:space="preserve"> испытани</w:t>
      </w:r>
      <w:r>
        <w:rPr>
          <w:szCs w:val="28"/>
        </w:rPr>
        <w:t xml:space="preserve">й</w:t>
      </w:r>
      <w:r>
        <w:rPr>
          <w:szCs w:val="28"/>
        </w:rPr>
        <w:t xml:space="preserve"> СЗИ ИС ФК</w:t>
      </w:r>
      <w:r>
        <w:rPr>
          <w:szCs w:val="28"/>
        </w:rPr>
        <w:t xml:space="preserve">, которые </w:t>
      </w:r>
      <w:r>
        <w:rPr>
          <w:szCs w:val="28"/>
        </w:rPr>
        <w:t xml:space="preserve">включают </w:t>
      </w:r>
      <w:r>
        <w:rPr>
          <w:szCs w:val="28"/>
        </w:rPr>
        <w:t xml:space="preserve">в себя </w:t>
      </w:r>
      <w:r>
        <w:rPr>
          <w:szCs w:val="28"/>
        </w:rPr>
        <w:t xml:space="preserve">проверку выполнения требований к СЗИ ИС ФК в соответствии с документом «Частное техническое задание на создание СЗИ ИС ФК».</w:t>
      </w:r>
      <w:r/>
    </w:p>
    <w:p>
      <w:pPr>
        <w:pStyle w:val="1295"/>
        <w:numPr>
          <w:ilvl w:val="3"/>
          <w:numId w:val="24"/>
        </w:numPr>
        <w:spacing w:line="360" w:lineRule="auto"/>
        <w:widowControl w:val="off"/>
        <w:rPr>
          <w:rFonts w:eastAsiaTheme="minorHAnsi" w:cstheme="minorBidi"/>
          <w:color w:val="auto"/>
          <w:szCs w:val="28"/>
          <w:lang w:eastAsia="en-US"/>
        </w:rPr>
      </w:pPr>
      <w:r>
        <w:rPr>
          <w:szCs w:val="28"/>
        </w:rPr>
        <w:t xml:space="preserve">Должны быть предъявлены требования по </w:t>
      </w:r>
      <w:r>
        <w:rPr>
          <w:szCs w:val="28"/>
        </w:rPr>
        <w:t xml:space="preserve">проведению аттестационных испытаний СЗИ ИС ФК, которые </w:t>
      </w:r>
      <w:r>
        <w:t xml:space="preserve"> </w:t>
      </w:r>
      <w:r>
        <w:rPr>
          <w:rFonts w:eastAsiaTheme="minorHAnsi" w:cstheme="minorBidi"/>
          <w:color w:val="auto"/>
          <w:szCs w:val="28"/>
          <w:lang w:eastAsia="en-US"/>
        </w:rPr>
        <w:t xml:space="preserve">должны быть выполнены в следующем объёме:</w:t>
      </w:r>
      <w:r>
        <w:rPr>
          <w:rFonts w:eastAsiaTheme="minorHAnsi" w:cstheme="minorBidi"/>
          <w:color w:val="auto"/>
          <w:szCs w:val="28"/>
          <w:lang w:eastAsia="en-US"/>
        </w:rPr>
      </w:r>
      <w:r>
        <w:rPr>
          <w:rFonts w:eastAsiaTheme="minorHAnsi" w:cstheme="minorBidi"/>
          <w:color w:val="auto"/>
          <w:szCs w:val="28"/>
          <w:lang w:eastAsia="en-US"/>
        </w:rPr>
      </w:r>
    </w:p>
    <w:p>
      <w:pPr>
        <w:ind w:firstLine="709"/>
        <w:spacing w:line="360" w:lineRule="atLeast"/>
        <w:rPr>
          <w:rFonts w:eastAsiaTheme="minorHAnsi" w:cstheme="minorBidi"/>
          <w:color w:val="auto"/>
          <w:sz w:val="28"/>
          <w:szCs w:val="28"/>
          <w:lang w:eastAsia="en-US"/>
        </w:rPr>
      </w:pP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­ проверка соответствия исходных данных реальным условиям размещени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я, монтажа и эксплуатации технических средств, изучение технологического процесса обработки, передачи и хранения информации, анализ информационных потоков, определение состава использованных для обработки, передачи и хранения информации технических средств</w:t>
      </w:r>
      <w:r>
        <w:rPr>
          <w:rFonts w:eastAsiaTheme="minorHAnsi" w:cstheme="minorBidi"/>
          <w:color w:val="auto"/>
          <w:sz w:val="28"/>
          <w:szCs w:val="28"/>
          <w:lang w:eastAsia="en-US"/>
        </w:rPr>
      </w:r>
      <w:r>
        <w:rPr>
          <w:rFonts w:eastAsiaTheme="minorHAnsi" w:cstheme="minorBidi"/>
          <w:color w:val="auto"/>
          <w:sz w:val="28"/>
          <w:szCs w:val="28"/>
          <w:lang w:eastAsia="en-US"/>
        </w:rPr>
      </w:r>
    </w:p>
    <w:p>
      <w:pPr>
        <w:ind w:firstLine="709"/>
        <w:spacing w:line="360" w:lineRule="atLeast"/>
        <w:rPr>
          <w:rFonts w:eastAsiaTheme="minorHAnsi" w:cstheme="minorBidi"/>
          <w:color w:val="auto"/>
          <w:sz w:val="28"/>
          <w:szCs w:val="28"/>
          <w:lang w:eastAsia="en-US"/>
        </w:rPr>
      </w:pP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­ разработка и согласование Программы и методик аттестационных испытаний;</w:t>
      </w:r>
      <w:r>
        <w:rPr>
          <w:rFonts w:eastAsiaTheme="minorHAnsi" w:cstheme="minorBidi"/>
          <w:color w:val="auto"/>
          <w:sz w:val="28"/>
          <w:szCs w:val="28"/>
          <w:lang w:eastAsia="en-US"/>
        </w:rPr>
      </w:r>
      <w:r>
        <w:rPr>
          <w:rFonts w:eastAsiaTheme="minorHAnsi" w:cstheme="minorBidi"/>
          <w:color w:val="auto"/>
          <w:sz w:val="28"/>
          <w:szCs w:val="28"/>
          <w:lang w:eastAsia="en-US"/>
        </w:rPr>
      </w:r>
    </w:p>
    <w:p>
      <w:pPr>
        <w:ind w:firstLine="709"/>
        <w:spacing w:line="360" w:lineRule="atLeast"/>
        <w:rPr>
          <w:rFonts w:eastAsiaTheme="minorHAnsi" w:cstheme="minorBidi"/>
          <w:color w:val="auto"/>
          <w:sz w:val="28"/>
          <w:szCs w:val="28"/>
          <w:lang w:eastAsia="en-US"/>
        </w:rPr>
      </w:pP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­ контроль эффективности организационных мер защиты информации в месте выполнения работ (проверка состояния организации работ и выполнения организационно технических требований по защите информации, оценка правильности классификации </w:t>
      </w:r>
      <w:r>
        <w:rPr>
          <w:rFonts w:eastAsiaTheme="minorHAnsi" w:cstheme="minorBidi"/>
          <w:bCs/>
          <w:color w:val="auto"/>
          <w:sz w:val="28"/>
          <w:szCs w:val="28"/>
          <w:lang w:eastAsia="en-US"/>
        </w:rPr>
        <w:t xml:space="preserve">СЗИ ИС ФК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, оценка полноты и уровня разработки организационно-распорядительной, проектной и рабочей документации, оценка уровня подготовки кадров и распределения ответственности за выполнение требований по защите информации);</w:t>
      </w:r>
      <w:r>
        <w:rPr>
          <w:rFonts w:eastAsiaTheme="minorHAnsi" w:cstheme="minorBidi"/>
          <w:color w:val="auto"/>
          <w:sz w:val="28"/>
          <w:szCs w:val="28"/>
          <w:lang w:eastAsia="en-US"/>
        </w:rPr>
      </w:r>
      <w:r>
        <w:rPr>
          <w:rFonts w:eastAsiaTheme="minorHAnsi" w:cstheme="minorBidi"/>
          <w:color w:val="auto"/>
          <w:sz w:val="28"/>
          <w:szCs w:val="28"/>
          <w:lang w:eastAsia="en-US"/>
        </w:rPr>
      </w:r>
    </w:p>
    <w:p>
      <w:pPr>
        <w:ind w:firstLine="709"/>
        <w:spacing w:line="360" w:lineRule="atLeast"/>
        <w:rPr>
          <w:rFonts w:eastAsiaTheme="minorHAnsi" w:cstheme="minorBidi"/>
          <w:color w:val="auto"/>
          <w:sz w:val="28"/>
          <w:szCs w:val="28"/>
          <w:lang w:eastAsia="en-US"/>
        </w:rPr>
      </w:pP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­ проведение аттестационных испытаний </w:t>
      </w:r>
      <w:r>
        <w:rPr>
          <w:rFonts w:eastAsiaTheme="minorHAnsi" w:cstheme="minorBidi"/>
          <w:bCs/>
          <w:color w:val="auto"/>
          <w:sz w:val="28"/>
          <w:szCs w:val="28"/>
          <w:lang w:eastAsia="en-US"/>
        </w:rPr>
        <w:t xml:space="preserve">СЗИ ИС ФК</w:t>
      </w: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 в реальных условиях эксплуатации путём проверки фактического выполнения установленных требований безопасности информации на различных этапах технологического процесса обработки защищаемой информации;</w:t>
      </w:r>
      <w:r>
        <w:rPr>
          <w:rFonts w:eastAsiaTheme="minorHAnsi" w:cstheme="minorBidi"/>
          <w:color w:val="auto"/>
          <w:sz w:val="28"/>
          <w:szCs w:val="28"/>
          <w:lang w:eastAsia="en-US"/>
        </w:rPr>
      </w:r>
      <w:r>
        <w:rPr>
          <w:rFonts w:eastAsiaTheme="minorHAnsi" w:cstheme="minorBidi"/>
          <w:color w:val="auto"/>
          <w:sz w:val="28"/>
          <w:szCs w:val="28"/>
          <w:lang w:eastAsia="en-US"/>
        </w:rPr>
      </w:r>
    </w:p>
    <w:p>
      <w:pPr>
        <w:ind w:firstLine="709"/>
        <w:spacing w:line="360" w:lineRule="atLeast"/>
        <w:rPr>
          <w:rFonts w:eastAsiaTheme="minorHAnsi" w:cstheme="minorBidi"/>
          <w:color w:val="auto"/>
          <w:sz w:val="28"/>
          <w:szCs w:val="28"/>
          <w:lang w:eastAsia="en-US"/>
        </w:rPr>
      </w:pPr>
      <w:r>
        <w:rPr>
          <w:rFonts w:eastAsiaTheme="minorHAnsi" w:cstheme="minorBidi"/>
          <w:color w:val="auto"/>
          <w:sz w:val="28"/>
          <w:szCs w:val="28"/>
          <w:lang w:eastAsia="en-US"/>
        </w:rPr>
        <w:t xml:space="preserve">­ оформление отчётной документации, выдача аттестата соответствия.</w:t>
      </w:r>
      <w:r>
        <w:rPr>
          <w:rFonts w:eastAsiaTheme="minorHAnsi" w:cstheme="minorBidi"/>
          <w:color w:val="auto"/>
          <w:sz w:val="28"/>
          <w:szCs w:val="28"/>
          <w:lang w:eastAsia="en-US"/>
        </w:rPr>
      </w:r>
      <w:r>
        <w:rPr>
          <w:rFonts w:eastAsiaTheme="minorHAnsi" w:cstheme="minorBidi"/>
          <w:color w:val="auto"/>
          <w:sz w:val="28"/>
          <w:szCs w:val="28"/>
          <w:lang w:eastAsia="en-US"/>
        </w:rPr>
      </w:r>
    </w:p>
    <w:p>
      <w:pPr>
        <w:pStyle w:val="1224"/>
      </w:pPr>
      <w:r>
        <w:t xml:space="preserve">Требования к </w:t>
      </w:r>
      <w:r>
        <w:t xml:space="preserve">системе защиты информации</w:t>
      </w:r>
      <w:r>
        <w:t xml:space="preserve"> при развитии ИС ФК. </w:t>
      </w:r>
      <w:r/>
    </w:p>
    <w:p>
      <w:pPr>
        <w:pStyle w:val="1204"/>
        <w:rPr>
          <w:rFonts w:ascii="Times New Roman" w:hAnsi="Times New Roman"/>
        </w:rPr>
      </w:pPr>
      <w:r/>
      <w:bookmarkStart w:id="43" w:name="_Toc2762776"/>
      <w:r/>
      <w:bookmarkStart w:id="44" w:name="_Toc478556819"/>
      <w:r>
        <w:rPr>
          <w:rFonts w:ascii="Times New Roman" w:hAnsi="Times New Roman"/>
        </w:rPr>
        <w:t xml:space="preserve">Требования по сохранности информации при авариях</w:t>
      </w:r>
      <w:bookmarkEnd w:id="43"/>
      <w:r/>
      <w:bookmarkEnd w:id="44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Заложенные в ИС технические, технологические и организационные решения должны обеспечивать гарантированную сохранность информации в следующих ситуациях:</w:t>
      </w:r>
      <w:r/>
    </w:p>
    <w:p>
      <w:pPr>
        <w:pStyle w:val="1245"/>
      </w:pPr>
      <w:r>
        <w:t xml:space="preserve">при авариях и сбоях в системе электропитания;</w:t>
      </w:r>
      <w:r/>
    </w:p>
    <w:p>
      <w:pPr>
        <w:pStyle w:val="1245"/>
      </w:pPr>
      <w:r>
        <w:t xml:space="preserve">при нарушениях работоспособности ПО;</w:t>
      </w:r>
      <w:r/>
    </w:p>
    <w:p>
      <w:pPr>
        <w:pStyle w:val="1245"/>
      </w:pPr>
      <w:r>
        <w:t xml:space="preserve">при некорректных действиях пользователей и персонала ИС;</w:t>
      </w:r>
      <w:r/>
    </w:p>
    <w:p>
      <w:pPr>
        <w:pStyle w:val="1245"/>
      </w:pPr>
      <w:r>
        <w:t xml:space="preserve">при отказе технических средств, обеспечивающих работу ИС.</w:t>
      </w:r>
      <w:r/>
    </w:p>
    <w:p>
      <w:pPr>
        <w:pStyle w:val="1224"/>
      </w:pPr>
      <w:r>
        <w:t xml:space="preserve">В целях обеспечения сохранности информации при авариях и сбоях в работе ИС должны быть предусмотрены:</w:t>
      </w:r>
      <w:r/>
    </w:p>
    <w:p>
      <w:pPr>
        <w:pStyle w:val="1245"/>
      </w:pPr>
      <w:r>
        <w:t xml:space="preserve">резервное копирование данных ИС;</w:t>
      </w:r>
      <w:r/>
    </w:p>
    <w:p>
      <w:pPr>
        <w:pStyle w:val="1245"/>
      </w:pPr>
      <w:r>
        <w:t xml:space="preserve">контроль целостности данных ИС на уровне ПО и систем хранения данных, осуществляемый в автоматическом режиме;</w:t>
      </w:r>
      <w:r/>
    </w:p>
    <w:p>
      <w:pPr>
        <w:pStyle w:val="1245"/>
      </w:pPr>
      <w:r>
        <w:t xml:space="preserve">решения по периодическому автоматизированному контролю целостности резервных копий данных информационной системы;</w:t>
      </w:r>
      <w:r/>
    </w:p>
    <w:p>
      <w:pPr>
        <w:pStyle w:val="1245"/>
      </w:pPr>
      <w:r>
        <w:t xml:space="preserve">решения по автоматизированному восстановлению данных ИС с целью восстановления штатного режима функционирования ИС за время, удовлетворяющее требованиям к режимам функционирования ИС.</w:t>
      </w:r>
      <w:r/>
    </w:p>
    <w:p>
      <w:pPr>
        <w:pStyle w:val="1224"/>
      </w:pPr>
      <w:r>
        <w:t xml:space="preserve">Для ИС должна быть разработана инструкция по осуществлению операций резервного копирования и восстановления (далее - Инструкция РК), удовлетворяющая требованиям Регламента резервного копирования Федерального казначейства, в которой должны быть описаны:</w:t>
      </w:r>
      <w:r/>
    </w:p>
    <w:p>
      <w:pPr>
        <w:pStyle w:val="1245"/>
      </w:pPr>
      <w:r>
        <w:t xml:space="preserve">перечень объектов РК</w:t>
      </w:r>
      <w:r>
        <w:rPr>
          <w:rStyle w:val="1252"/>
        </w:rPr>
        <w:footnoteReference w:id="8"/>
      </w:r>
      <w:r>
        <w:t xml:space="preserve"> с указанием рекомендуемых политик резервного копирования для каждого объекта РК, в соответствии с Регламентом резервного копирования Федерального казначейства;</w:t>
      </w:r>
      <w:r/>
    </w:p>
    <w:p>
      <w:pPr>
        <w:pStyle w:val="1245"/>
      </w:pPr>
      <w:r>
        <w:t xml:space="preserve">пошаговый порядок восстановления ИС из резервной копии;</w:t>
      </w:r>
      <w:r/>
    </w:p>
    <w:p>
      <w:pPr>
        <w:pStyle w:val="1245"/>
      </w:pPr>
      <w:r>
        <w:t xml:space="preserve">требования к времени восстановления штатного режима функционирования объектов РК и ИС в целом;</w:t>
      </w:r>
      <w:r/>
    </w:p>
    <w:p>
      <w:pPr>
        <w:pStyle w:val="1245"/>
      </w:pPr>
      <w:r>
        <w:t xml:space="preserve">прочие необходимые сведения для осуществления операций резервного копирования и восстановления штатного функционирования ИС.</w:t>
      </w:r>
      <w:r/>
    </w:p>
    <w:p>
      <w:pPr>
        <w:pStyle w:val="1224"/>
      </w:pPr>
      <w:r>
        <w:t xml:space="preserve">В Инструкции РК должны быть описаны процедуры, обеспечивающие создание комплекта резервных копий и позволяющие провести восстановление ИС и используемых ею баз данных.</w:t>
      </w:r>
      <w:r/>
    </w:p>
    <w:p>
      <w:pPr>
        <w:pStyle w:val="1224"/>
      </w:pPr>
      <w:r>
        <w:t xml:space="preserve">В Инструкции РК должен быть предусмотрен цикл периодической пр</w:t>
      </w:r>
      <w:r>
        <w:t xml:space="preserve">оверки процедур восстановления ИС из резервных копий с последующей проверкой работоспособности каждой из подсистем ИС и ИС в целом, в рамках специально отведённых для этого тестовых сред. Указанная проверка должна проводиться не реже одного раза в квартал.</w:t>
      </w:r>
      <w:r/>
    </w:p>
    <w:p>
      <w:pPr>
        <w:pStyle w:val="1204"/>
        <w:rPr>
          <w:rFonts w:ascii="Times New Roman" w:hAnsi="Times New Roman"/>
        </w:rPr>
      </w:pPr>
      <w:r/>
      <w:bookmarkStart w:id="45" w:name="_Toc2762777"/>
      <w:r/>
      <w:bookmarkStart w:id="46" w:name="_Toc478556820"/>
      <w:r>
        <w:rPr>
          <w:rFonts w:ascii="Times New Roman" w:hAnsi="Times New Roman"/>
        </w:rPr>
        <w:t xml:space="preserve">Требования к защите от влияния внешних воздействий</w:t>
      </w:r>
      <w:bookmarkEnd w:id="45"/>
      <w:r/>
      <w:bookmarkEnd w:id="4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Технические средства ИС должны располагаться в специально оборудованных защищенных помещениях, обеспечивающих защиту от влияния внешних воздействий. </w:t>
      </w:r>
      <w:r/>
    </w:p>
    <w:p>
      <w:pPr>
        <w:pStyle w:val="1224"/>
      </w:pPr>
      <w:r>
        <w:t xml:space="preserve">В помещениях должны обеспечиваться климатические условия, определяемые требованиями производителей используемых технических средств.</w:t>
      </w:r>
      <w:r/>
    </w:p>
    <w:p>
      <w:pPr>
        <w:pStyle w:val="1224"/>
      </w:pPr>
      <w:r>
        <w:t xml:space="preserve">Размещение взаимно резервирующего оборудования должно обеспечить максимальную независимость друг от друга с точки зрения воздействия внешних факторов. </w:t>
      </w:r>
      <w:r/>
    </w:p>
    <w:p>
      <w:pPr>
        <w:pStyle w:val="1277"/>
        <w:rPr>
          <w:rStyle w:val="1293"/>
        </w:rPr>
      </w:pPr>
      <w:r>
        <w:rPr>
          <w:rStyle w:val="1293"/>
        </w:rPr>
        <w:t xml:space="preserve">Также в настоящем разделе приводят: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радиоэлектронной защите средств ИС;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по стойкости, устойчивости и прочности к внешним воздействиям (среде применения).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47" w:name="_Toc2762778"/>
      <w:r/>
      <w:bookmarkStart w:id="48" w:name="_Toc478556821"/>
      <w:r/>
      <w:bookmarkEnd w:id="47"/>
      <w:r/>
      <w:bookmarkEnd w:id="48"/>
      <w:r>
        <w:rPr>
          <w:rFonts w:ascii="Times New Roman" w:hAnsi="Times New Roman"/>
        </w:rPr>
        <w:t xml:space="preserve">Условия передачи прав на программное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47"/>
        <w:ind w:firstLine="709"/>
        <w:rPr>
          <w:rStyle w:val="1292"/>
          <w:b w:val="0"/>
          <w:sz w:val="28"/>
          <w:szCs w:val="28"/>
        </w:rPr>
      </w:pPr>
      <w:r/>
      <w:bookmarkStart w:id="52" w:name="_GoBack"/>
      <w:r>
        <w:rPr>
          <w:sz w:val="28"/>
          <w:szCs w:val="28"/>
        </w:rPr>
        <w:t xml:space="preserve">В отношении ИС и её частей должна обеспечиваться </w:t>
      </w:r>
      <w:r>
        <w:rPr>
          <w:sz w:val="28"/>
          <w:szCs w:val="28"/>
        </w:rPr>
        <w:t xml:space="preserve">юридическая безупречность, позволяющая использовать ИС на территории </w:t>
      </w:r>
      <w:r>
        <w:rPr>
          <w:rStyle w:val="1292"/>
          <w:b w:val="0"/>
          <w:sz w:val="28"/>
          <w:szCs w:val="28"/>
        </w:rPr>
        <w:t xml:space="preserve">России без нарушения патентных прав и прав на интеллектуальную собственность.</w:t>
      </w:r>
      <w:bookmarkEnd w:id="52"/>
      <w:r>
        <w:rPr>
          <w:rStyle w:val="1292"/>
          <w:b w:val="0"/>
          <w:sz w:val="28"/>
          <w:szCs w:val="28"/>
        </w:rPr>
      </w:r>
      <w:r>
        <w:rPr>
          <w:rStyle w:val="1292"/>
          <w:b w:val="0"/>
          <w:sz w:val="28"/>
          <w:szCs w:val="28"/>
        </w:rPr>
      </w:r>
    </w:p>
    <w:p>
      <w:pPr>
        <w:pStyle w:val="1247"/>
        <w:ind w:firstLine="709"/>
        <w:rPr>
          <w:rStyle w:val="1292"/>
          <w:b w:val="0"/>
          <w:bCs/>
          <w:i/>
          <w:color w:val="auto"/>
          <w:sz w:val="28"/>
          <w:szCs w:val="28"/>
        </w:rPr>
      </w:pPr>
      <w:r>
        <w:rPr>
          <w:rStyle w:val="1292"/>
          <w:b w:val="0"/>
        </w:rPr>
      </w:r>
      <w:r>
        <w:rPr>
          <w:i/>
          <w:color w:val="auto"/>
          <w:sz w:val="28"/>
          <w:szCs w:val="28"/>
        </w:rPr>
        <w:t xml:space="preserve">После завершения работ по созданию (развитию) ИС Исполнитель должен передать ФК исключительные права на программы (программные комплексы или компоненты), входящие в состав ИС и созданные или измененные в ходе исполнения государственного контракта.</w:t>
      </w:r>
      <w:r>
        <w:rPr>
          <w:rStyle w:val="1292"/>
          <w:b w:val="0"/>
          <w:bCs/>
          <w:i/>
          <w:color w:val="auto"/>
          <w:sz w:val="28"/>
          <w:szCs w:val="28"/>
        </w:rPr>
      </w:r>
      <w:r>
        <w:rPr>
          <w:rStyle w:val="1292"/>
          <w:b w:val="0"/>
          <w:bCs/>
          <w:i/>
          <w:color w:val="auto"/>
          <w:sz w:val="28"/>
          <w:szCs w:val="28"/>
        </w:rPr>
      </w:r>
    </w:p>
    <w:p>
      <w:pPr>
        <w:pStyle w:val="1247"/>
        <w:ind w:firstLine="709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 xml:space="preserve">По запросу Заказчика Исполнитель должен предоставить лицензии, а также нотариально заверенный перевод лицензий на русс</w:t>
      </w:r>
      <w:r>
        <w:rPr>
          <w:i/>
          <w:color w:val="auto"/>
          <w:sz w:val="28"/>
          <w:szCs w:val="28"/>
        </w:rPr>
        <w:t xml:space="preserve">кий язык для лицензий, составленных на иностранном языке, на свободно распространяемое ПО, которое не входит в перечень программных компонент и платформ, используемых для формирования программной архитектуры ИС ФК (см. Требования к системной архитектуре и </w:t>
      </w:r>
      <w:r>
        <w:rPr>
          <w:i/>
          <w:color w:val="auto"/>
          <w:sz w:val="28"/>
          <w:szCs w:val="28"/>
        </w:rPr>
        <w:t xml:space="preserve">используемым технологиям при создании и развитии информационных систем Федерального казначейства. Приложение 2) и используемое при создании (развитии) ИС, в целях подтверждения возможности использования данного ПО в государственных информационных системах.</w:t>
      </w:r>
      <w:r>
        <w:rPr>
          <w:i/>
          <w:color w:val="auto"/>
          <w:sz w:val="28"/>
          <w:szCs w:val="28"/>
        </w:rPr>
      </w:r>
      <w:r>
        <w:rPr>
          <w:i/>
          <w:color w:val="auto"/>
          <w:sz w:val="28"/>
          <w:szCs w:val="28"/>
        </w:rPr>
      </w:r>
    </w:p>
    <w:p>
      <w:pPr>
        <w:pStyle w:val="1247"/>
        <w:ind w:firstLine="709"/>
        <w:rPr>
          <w:i/>
        </w:rPr>
      </w:pPr>
      <w:r>
        <w:rPr>
          <w:i/>
          <w:color w:val="auto"/>
          <w:sz w:val="28"/>
          <w:szCs w:val="28"/>
        </w:rPr>
        <w:t xml:space="preserve">В случае включения в состав ИС программного обеспечения (программных комплексов или ко</w:t>
      </w:r>
      <w:r>
        <w:rPr>
          <w:i/>
          <w:color w:val="auto"/>
          <w:sz w:val="28"/>
          <w:szCs w:val="28"/>
        </w:rPr>
        <w:t xml:space="preserve">мпонентов), являющихся интеллектуальной собственностью Исполнителя или разработанных третьими лицами и поставленных ФК «как есть» в рамках выполнения работ, Исполнитель обязан до срока окончания контракта предоставить или организовать предоставление ФК про</w:t>
      </w:r>
      <w:r>
        <w:rPr>
          <w:i/>
          <w:color w:val="auto"/>
          <w:sz w:val="28"/>
          <w:szCs w:val="28"/>
        </w:rPr>
        <w:t xml:space="preserve">стой (неисключительной) лицензии на использование соответствующего результата интеллектуальной деятельности для государственных нужд на весь срок действия исключительного права на такое программное обеспечение, в объеме, достаточном для исполнения условий </w:t>
      </w:r>
      <w:r>
        <w:rPr>
          <w:i/>
          <w:color w:val="auto"/>
          <w:sz w:val="28"/>
          <w:szCs w:val="28"/>
        </w:rPr>
        <w:t xml:space="preserve">К</w:t>
      </w:r>
      <w:r>
        <w:rPr>
          <w:i/>
          <w:color w:val="auto"/>
          <w:sz w:val="28"/>
          <w:szCs w:val="28"/>
        </w:rPr>
        <w:t xml:space="preserve">онтракта. Стоимость такого программного обеспечения входит в стоимость Контракта.</w:t>
      </w:r>
      <w:r>
        <w:rPr>
          <w:i/>
        </w:rPr>
      </w:r>
      <w:r>
        <w:rPr>
          <w:i/>
        </w:rPr>
      </w:r>
    </w:p>
    <w:p>
      <w:pPr>
        <w:pStyle w:val="1204"/>
        <w:rPr>
          <w:rFonts w:ascii="Times New Roman" w:hAnsi="Times New Roman"/>
        </w:rPr>
      </w:pPr>
      <w:r/>
      <w:bookmarkStart w:id="65" w:name="_Toc2762779"/>
      <w:r/>
      <w:bookmarkStart w:id="66" w:name="_Toc478556822"/>
      <w:r>
        <w:rPr>
          <w:rFonts w:ascii="Times New Roman" w:hAnsi="Times New Roman"/>
        </w:rPr>
        <w:t xml:space="preserve">Требования по стандартизации и унификации</w:t>
      </w:r>
      <w:bookmarkEnd w:id="65"/>
      <w:r/>
      <w:bookmarkEnd w:id="6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ИС должна отвечать следующим общим требованиям: модульность, открытость, унификация и тиражируемость.</w:t>
      </w:r>
      <w:r/>
    </w:p>
    <w:p>
      <w:pPr>
        <w:pStyle w:val="1224"/>
        <w:rPr>
          <w:rStyle w:val="1292"/>
          <w:b w:val="0"/>
        </w:rPr>
      </w:pPr>
      <w:r>
        <w:t xml:space="preserve">ИС</w:t>
      </w:r>
      <w:r>
        <w:t xml:space="preserve"> должна использовать стандартные технические решения, базирующиеся на применении типовых протоколов и интерфейсов взаимодействия, предусматривающих обеспечение совместимости оборудования и программного обеспечения разных производителей, а также интеграцию </w:t>
      </w:r>
      <w:r>
        <w:rPr>
          <w:rStyle w:val="1292"/>
          <w:b w:val="0"/>
        </w:rPr>
        <w:t xml:space="preserve">ИС со смежными системами и ИТ-инфраструктурой, эксплуатируемыми у Заказчика на момент создания ИС.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24"/>
      </w:pPr>
      <w:r>
        <w:t xml:space="preserve">Решения, заложенные в основу ИС, должны обладать следующими свойствами:</w:t>
      </w:r>
      <w:r/>
    </w:p>
    <w:p>
      <w:pPr>
        <w:pStyle w:val="1245"/>
      </w:pPr>
      <w:r>
        <w:t xml:space="preserve">ИС должна иметь модульную архитектуру, совместимую с архитектурой использующихся у Заказчика информационных систем и построенную с максимальным использованием типовых архитектурных решений;</w:t>
      </w:r>
      <w:r/>
    </w:p>
    <w:p>
      <w:pPr>
        <w:pStyle w:val="1245"/>
      </w:pPr>
      <w:r>
        <w:t xml:space="preserve">обеспечивать заданный уровень интеграции со смежными ИС, включая внешние по отношению к Заказчику ИС;</w:t>
      </w:r>
      <w:r/>
    </w:p>
    <w:p>
      <w:pPr>
        <w:pStyle w:val="1245"/>
      </w:pPr>
      <w:r>
        <w:t xml:space="preserve">использовать существующие у заказчика классификаторы и системы НСИ;</w:t>
      </w:r>
      <w:r/>
    </w:p>
    <w:p>
      <w:pPr>
        <w:pStyle w:val="1245"/>
      </w:pPr>
      <w:r>
        <w:t xml:space="preserve">иметь унифицированный, дружественный пользовательский интерфейс, максимально гармонизированный с пользовательскими интерфейсами эксплуатирующихся ИС ФК.</w:t>
      </w:r>
      <w:r/>
    </w:p>
    <w:p>
      <w:pPr>
        <w:pStyle w:val="1224"/>
      </w:pPr>
      <w:r>
        <w:t xml:space="preserve">Все технические решения, используемые в ИС, должны соответствовать требованиям национальных стандартов РФ или (при их отсутствии) международных стандартов.</w:t>
      </w:r>
      <w:r/>
    </w:p>
    <w:p>
      <w:pPr>
        <w:pStyle w:val="1224"/>
      </w:pPr>
      <w:r>
        <w:t xml:space="preserve">Технические и программные средства, используемые в составе ИС, должны иметь сертификаты или другие документы, подтверждающие их соответствие требованиям национальных стандартов и Законодательства РФ.</w:t>
      </w:r>
      <w:r/>
    </w:p>
    <w:p>
      <w:pPr>
        <w:pStyle w:val="1266"/>
        <w:rPr>
          <w:rStyle w:val="1293"/>
        </w:rPr>
      </w:pPr>
      <w:r>
        <w:rPr>
          <w:rStyle w:val="1293"/>
        </w:rPr>
        <w:t xml:space="preserve">В настоящем разделе также могут приводиться доп</w:t>
      </w:r>
      <w:r>
        <w:rPr>
          <w:rStyle w:val="1293"/>
        </w:rPr>
        <w:t xml:space="preserve">олнительные требования к стандартизации и унификации программных и аппаратных средств ИС, методов реализации функций ИС, к использованию типовых математических методов и моделей, типовых проектных решений, унифицированных форм документов и классификаторов.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67" w:name="_Toc478556823"/>
      <w:r/>
      <w:bookmarkStart w:id="68" w:name="_Toc2762780"/>
      <w:r>
        <w:rPr>
          <w:rFonts w:ascii="Times New Roman" w:hAnsi="Times New Roman"/>
        </w:rPr>
        <w:t xml:space="preserve">Дополнительные требования</w:t>
      </w:r>
      <w:bookmarkEnd w:id="67"/>
      <w:r/>
      <w:bookmarkEnd w:id="68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05"/>
        <w:rPr>
          <w:rFonts w:ascii="Times New Roman" w:hAnsi="Times New Roman"/>
        </w:rPr>
      </w:pPr>
      <w:r/>
      <w:bookmarkStart w:id="69" w:name="_Toc478556824"/>
      <w:r/>
      <w:bookmarkStart w:id="70" w:name="_Toc2762781"/>
      <w:r>
        <w:rPr>
          <w:rFonts w:ascii="Times New Roman" w:hAnsi="Times New Roman"/>
        </w:rPr>
        <w:t xml:space="preserve">Требования к архитектуре</w:t>
      </w:r>
      <w:bookmarkEnd w:id="69"/>
      <w:r/>
      <w:bookmarkEnd w:id="7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0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Архитектура ИС должна обеспечивать возможность непрерывного функционирования системы в условиях ее развития в соответствии с заданными показателями назначения.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0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Архитектура ИС должна соответствовать </w:t>
      </w:r>
      <w:r>
        <w:rPr>
          <w:rFonts w:ascii="Times New Roman" w:hAnsi="Times New Roman"/>
        </w:rPr>
        <w:t xml:space="preserve">Требованиям к системной архитектуре и используемым технологиям при создании и развитии информационных систем </w:t>
      </w:r>
      <w:r>
        <w:rPr>
          <w:rFonts w:ascii="Times New Roman" w:hAnsi="Times New Roman"/>
        </w:rPr>
        <w:t xml:space="preserve">Федерального казначейства, размещенных на официальном сайте Федерального казначейства в сети </w:t>
      </w:r>
      <w:r>
        <w:rPr>
          <w:rFonts w:ascii="Times New Roman" w:hAnsi="Times New Roman"/>
        </w:rPr>
        <w:t xml:space="preserve">Интернет (</w:t>
      </w:r>
      <w:r>
        <w:rPr>
          <w:rFonts w:ascii="Times New Roman" w:hAnsi="Times New Roman"/>
          <w:lang w:val="en-US"/>
        </w:rPr>
        <w:t xml:space="preserve">https</w:t>
      </w:r>
      <w:r>
        <w:rPr>
          <w:rFonts w:ascii="Times New Roman" w:hAnsi="Times New Roman"/>
        </w:rPr>
        <w:t xml:space="preserve">://</w:t>
      </w:r>
      <w:r>
        <w:rPr>
          <w:rFonts w:ascii="Times New Roman" w:hAnsi="Times New Roman"/>
          <w:lang w:val="en-US"/>
        </w:rPr>
        <w:t xml:space="preserve">www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  <w:lang w:val="en-US"/>
        </w:rPr>
        <w:t xml:space="preserve">roskazna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  <w:lang w:val="en-US"/>
        </w:rPr>
        <w:t xml:space="preserve">gov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  <w:lang w:val="en-US"/>
        </w:rPr>
        <w:t xml:space="preserve">ru</w:t>
      </w:r>
      <w:r>
        <w:rPr>
          <w:rFonts w:ascii="Times New Roman" w:hAnsi="Times New Roman"/>
        </w:rPr>
        <w:t xml:space="preserve">/upload</w:t>
      </w:r>
      <w:r>
        <w:rPr>
          <w:rFonts w:ascii="Times New Roman" w:hAnsi="Times New Roman"/>
        </w:rPr>
        <w:t xml:space="preserve">/</w:t>
      </w:r>
      <w:r>
        <w:rPr>
          <w:rFonts w:ascii="Times New Roman" w:hAnsi="Times New Roman"/>
          <w:lang w:val="en-US"/>
        </w:rPr>
        <w:t xml:space="preserve">iblock</w:t>
      </w:r>
      <w:r>
        <w:rPr>
          <w:rFonts w:ascii="Times New Roman" w:hAnsi="Times New Roman"/>
        </w:rPr>
        <w:t xml:space="preserve">/6</w:t>
      </w:r>
      <w:r>
        <w:rPr>
          <w:rFonts w:ascii="Times New Roman" w:hAnsi="Times New Roman"/>
          <w:lang w:val="en-US"/>
        </w:rPr>
        <w:t xml:space="preserve">b</w:t>
      </w:r>
      <w:r>
        <w:rPr>
          <w:rFonts w:ascii="Times New Roman" w:hAnsi="Times New Roman"/>
        </w:rPr>
        <w:t xml:space="preserve">9/</w:t>
      </w:r>
      <w:r>
        <w:rPr>
          <w:rFonts w:ascii="Times New Roman" w:hAnsi="Times New Roman"/>
          <w:lang w:val="en-US"/>
        </w:rPr>
        <w:t xml:space="preserve">trebovaniya</w:t>
      </w:r>
      <w:r>
        <w:rPr>
          <w:rFonts w:ascii="Times New Roman" w:hAnsi="Times New Roman"/>
        </w:rPr>
        <w:t xml:space="preserve">-</w:t>
      </w:r>
      <w:r>
        <w:rPr>
          <w:rFonts w:ascii="Times New Roman" w:hAnsi="Times New Roman"/>
          <w:lang w:val="en-US"/>
        </w:rPr>
        <w:t xml:space="preserve">k</w:t>
      </w:r>
      <w:r>
        <w:rPr>
          <w:rFonts w:ascii="Times New Roman" w:hAnsi="Times New Roman"/>
        </w:rPr>
        <w:t xml:space="preserve">-</w:t>
      </w:r>
      <w:r>
        <w:rPr>
          <w:rFonts w:ascii="Times New Roman" w:hAnsi="Times New Roman"/>
          <w:lang w:val="en-US"/>
        </w:rPr>
        <w:t xml:space="preserve">arkhitekture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  <w:lang w:val="en-US"/>
        </w:rPr>
        <w:t xml:space="preserve">docx</w:t>
      </w:r>
      <w:r>
        <w:rPr>
          <w:rFonts w:ascii="Times New Roman" w:hAnsi="Times New Roman"/>
        </w:rPr>
        <w:t xml:space="preserve">).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0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 должна быть построена таким образом, чтобы исключить наличие единой точки отказа.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6"/>
        <w:rPr>
          <w:color w:val="ff0000"/>
        </w:rPr>
      </w:pPr>
      <w:r/>
      <w:bookmarkStart w:id="113" w:name="_Ref449096284"/>
      <w:r/>
      <w:bookmarkEnd w:id="113"/>
      <w:r>
        <w:t xml:space="preserve">Техническ</w:t>
      </w:r>
      <w:r>
        <w:t xml:space="preserve">ие решения, заложенные в </w:t>
      </w:r>
      <w:r>
        <w:t xml:space="preserve">ИС</w:t>
      </w:r>
      <w:r>
        <w:t xml:space="preserve">, должны обеспечивать глубокие возможности для масштабирования, в частности: </w:t>
      </w:r>
      <w:r>
        <w:rPr>
          <w:color w:val="ff0000"/>
        </w:rPr>
      </w:r>
      <w:r>
        <w:rPr>
          <w:color w:val="ff0000"/>
        </w:rPr>
      </w:r>
    </w:p>
    <w:p>
      <w:pPr>
        <w:ind w:left="360"/>
        <w:spacing w:before="100" w:beforeAutospacing="1" w:after="100" w:afterAutospacing="1"/>
        <w:rPr>
          <w:sz w:val="28"/>
        </w:rPr>
      </w:pPr>
      <w:r>
        <w:rPr>
          <w:sz w:val="28"/>
        </w:rPr>
        <w:t xml:space="preserve">1</w:t>
      </w:r>
      <w:r>
        <w:rPr>
          <w:sz w:val="28"/>
        </w:rPr>
        <w:t xml:space="preserve">. </w:t>
      </w:r>
      <w:r>
        <w:rPr>
          <w:sz w:val="28"/>
        </w:rPr>
        <w:t xml:space="preserve">ИС</w:t>
      </w:r>
      <w:r>
        <w:rPr>
          <w:sz w:val="28"/>
        </w:rPr>
        <w:t xml:space="preserve"> должна обладать возможностями аппаратного и программного масштабирования по мере возрастания нагрузки, связанной как с ростом числа пользователей и количества обращений к ней, так и с увеличением объема обрабатываемой в ней информации. </w:t>
      </w:r>
      <w:r>
        <w:rPr>
          <w:sz w:val="28"/>
        </w:rPr>
      </w:r>
      <w:r>
        <w:rPr>
          <w:sz w:val="28"/>
        </w:rPr>
      </w:r>
    </w:p>
    <w:p>
      <w:pPr>
        <w:ind w:left="360"/>
        <w:spacing w:before="100" w:beforeAutospacing="1" w:after="100" w:afterAutospacing="1"/>
        <w:rPr>
          <w:sz w:val="28"/>
        </w:rPr>
      </w:pPr>
      <w:r>
        <w:rPr>
          <w:sz w:val="28"/>
        </w:rPr>
        <w:t xml:space="preserve">2.</w:t>
      </w:r>
      <w:r>
        <w:rPr>
          <w:sz w:val="28"/>
        </w:rPr>
        <w:t xml:space="preserve">ИС</w:t>
      </w:r>
      <w:r>
        <w:rPr>
          <w:sz w:val="28"/>
        </w:rPr>
        <w:t xml:space="preserve"> должна обладать возможностями для поэтапного расширения состава выполняемых ею функций без привязки к модернизации аппаратно-программной платформы и без ухудшения ее технических характеристик. </w:t>
      </w:r>
      <w:r>
        <w:rPr>
          <w:sz w:val="28"/>
        </w:rPr>
      </w:r>
      <w:r>
        <w:rPr>
          <w:sz w:val="28"/>
        </w:rPr>
      </w:r>
    </w:p>
    <w:p>
      <w:pPr>
        <w:spacing w:before="100" w:beforeAutospacing="1" w:after="100" w:afterAutospacing="1"/>
        <w:rPr>
          <w:sz w:val="28"/>
        </w:rPr>
      </w:pPr>
      <w:r>
        <w:rPr>
          <w:sz w:val="28"/>
        </w:rPr>
        <w:t xml:space="preserve">Для обеспечения высок</w:t>
      </w:r>
      <w:r>
        <w:rPr>
          <w:sz w:val="28"/>
        </w:rPr>
        <w:t xml:space="preserve">ой производительности </w:t>
      </w:r>
      <w:r>
        <w:rPr>
          <w:sz w:val="28"/>
        </w:rPr>
        <w:t xml:space="preserve">ИС</w:t>
      </w:r>
      <w:r>
        <w:rPr>
          <w:sz w:val="28"/>
        </w:rPr>
        <w:t xml:space="preserve"> должно применяться горизонтальное масштабирование на каждом уровне архитектуры, каждом отдельном сервисе</w:t>
      </w:r>
      <w:r>
        <w:rPr>
          <w:sz w:val="28"/>
        </w:rPr>
        <w:t xml:space="preserve"> </w:t>
      </w:r>
      <w:r>
        <w:rPr>
          <w:sz w:val="28"/>
        </w:rPr>
        <w:t xml:space="preserve">(микросервисе), СУБД, системе хранения данных. </w:t>
      </w:r>
      <w:r>
        <w:rPr>
          <w:sz w:val="28"/>
        </w:rPr>
      </w:r>
      <w:r>
        <w:rPr>
          <w:sz w:val="28"/>
        </w:rPr>
      </w:r>
    </w:p>
    <w:p>
      <w:pPr>
        <w:spacing w:before="100" w:beforeAutospacing="1" w:after="100" w:afterAutospacing="1"/>
      </w:pPr>
      <w:r>
        <w:rPr>
          <w:sz w:val="28"/>
        </w:rPr>
        <w:t xml:space="preserve">ИС</w:t>
      </w:r>
      <w:r>
        <w:rPr>
          <w:sz w:val="28"/>
        </w:rPr>
        <w:t xml:space="preserve"> должна обеспечивать предоставление показателей работоспособности (healthchecks) и метрик производительности для последующего использования в системах оркестрации, например, в системе Kubernetes.</w:t>
      </w:r>
      <w:r/>
    </w:p>
    <w:p>
      <w:pPr>
        <w:pStyle w:val="1226"/>
      </w:pPr>
      <w:r>
        <w:t xml:space="preserve">При создании ИС необходимо использовать технологию кластеризации с балансировкой нагрузки для обеспечения требуемых показателей отказоустойчивости и повышения производительности системы.</w:t>
      </w:r>
      <w:r/>
    </w:p>
    <w:p>
      <w:pPr>
        <w:pStyle w:val="1226"/>
      </w:pPr>
      <w:r>
        <w:t xml:space="preserve">Тех</w:t>
      </w:r>
      <w:r>
        <w:t xml:space="preserve">нические решения, принимаемые в рамках проектирования ИС, должны обеспечивать максимально возможное сохранение основных существующих архитектурных подходов к организации системы. Это требование касается, как минимум, следующих аспектов организации системы:</w:t>
      </w:r>
      <w:r/>
    </w:p>
    <w:p>
      <w:pPr>
        <w:pStyle w:val="1245"/>
      </w:pPr>
      <w:r>
        <w:t xml:space="preserve">состав площадок, охватываемых ИТ-инфраструктурой информационной системы;</w:t>
      </w:r>
      <w:r/>
    </w:p>
    <w:p>
      <w:pPr>
        <w:pStyle w:val="1245"/>
      </w:pPr>
      <w:r>
        <w:t xml:space="preserve">выбор классов базисного программного обеспечения;</w:t>
      </w:r>
      <w:r/>
    </w:p>
    <w:p>
      <w:pPr>
        <w:pStyle w:val="1245"/>
      </w:pPr>
      <w:r>
        <w:t xml:space="preserve">выбор процессорных архитектур для различных типов вычислительной нагрузки.</w:t>
      </w:r>
      <w:r/>
    </w:p>
    <w:p>
      <w:pPr>
        <w:pStyle w:val="1226"/>
      </w:pPr>
      <w:r>
        <w:t xml:space="preserve">ИС на уровне интеграционных компо</w:t>
      </w:r>
      <w:r>
        <w:t xml:space="preserve">нентов должна поддерживать маршрутизацию сообщений, включая маршрутизацию сообщений при переключении на другой запущенный физический экземпляр ИС в случае возникновения сбоев в экземпляре, с которым работает пользователь, без остановки работы пользователя.</w:t>
      </w:r>
      <w:r/>
    </w:p>
    <w:p>
      <w:pPr>
        <w:pStyle w:val="1226"/>
      </w:pPr>
      <w:r>
        <w:t xml:space="preserve">ИС должна поддерживать агрегацию данных из разных экземпляров ИС. </w:t>
      </w:r>
      <w:r/>
    </w:p>
    <w:p>
      <w:pPr>
        <w:pStyle w:val="1226"/>
      </w:pPr>
      <w:r>
        <w:t xml:space="preserve">ИС должна быть реализована по "модульной схеме". Модульная схема должна обеспечивать возможность восстановления отдельных модулей путём их замены без остановки функционирования ИС, включая восстановление данных модуля из резервной копии.</w:t>
      </w:r>
      <w:r/>
    </w:p>
    <w:p>
      <w:pPr>
        <w:pStyle w:val="1226"/>
      </w:pPr>
      <w:r>
        <w:t xml:space="preserve">Информационное взаимодействие между структурными компонентами ИС (подсистемами, модулями), а также между компонентами ИС и смежными (внешними) системами должно обеспечиваться за счет использования унифицированных шин обмена данными.</w:t>
      </w:r>
      <w:r/>
    </w:p>
    <w:p>
      <w:pPr>
        <w:pStyle w:val="1226"/>
      </w:pPr>
      <w:r>
        <w:t xml:space="preserve">С целью повышения утилизации ресурсов и обеспечения заданных показателей назначения балансировка нагрузки в ИС должна обеспечиваться на следующих уровнях взаимодействия:</w:t>
      </w:r>
      <w:r/>
    </w:p>
    <w:p>
      <w:pPr>
        <w:pStyle w:val="1246"/>
      </w:pPr>
      <w:r>
        <w:t xml:space="preserve">пользователя с web-серверами;</w:t>
      </w:r>
      <w:r/>
    </w:p>
    <w:p>
      <w:pPr>
        <w:pStyle w:val="1246"/>
      </w:pPr>
      <w:r>
        <w:t xml:space="preserve">web-сервера с серверами приложений;</w:t>
      </w:r>
      <w:r/>
    </w:p>
    <w:p>
      <w:pPr>
        <w:pStyle w:val="1246"/>
      </w:pPr>
      <w:r>
        <w:t xml:space="preserve">взаимодействия сервера приложений с серверами баз данных;</w:t>
      </w:r>
      <w:r/>
    </w:p>
    <w:p>
      <w:pPr>
        <w:pStyle w:val="1246"/>
      </w:pPr>
      <w:r>
        <w:t xml:space="preserve">на уровне компонентов КТС.</w:t>
      </w:r>
      <w:r/>
    </w:p>
    <w:p>
      <w:pPr>
        <w:pStyle w:val="1226"/>
      </w:pPr>
      <w:r>
        <w:t xml:space="preserve">Архитектурные компоненты ИС должны быть универсальны, слабо связаны между собой и не иметь привязки к уникальным технологиям одной фирмы-производителя.</w:t>
      </w:r>
      <w:r/>
    </w:p>
    <w:p>
      <w:pPr>
        <w:pStyle w:val="1226"/>
      </w:pPr>
      <w:r>
        <w:t xml:space="preserve">Архитектура вычислительных платформ ИС должна сочетаться с виртуализацией и динамическим перераспределением ресурсов.</w:t>
      </w:r>
      <w:r/>
    </w:p>
    <w:p>
      <w:pPr>
        <w:pStyle w:val="1226"/>
      </w:pPr>
      <w:r>
        <w:t xml:space="preserve">При проектировании ИС должны максимально использоваться решения, использованные при построении единой облачной инфраструктуры (далее - ЕОИ) и ГИИС "Электронный бюджет".</w:t>
      </w:r>
      <w:r/>
    </w:p>
    <w:p>
      <w:pPr>
        <w:pStyle w:val="1266"/>
        <w:rPr>
          <w:rStyle w:val="1293"/>
        </w:rPr>
      </w:pPr>
      <w:r>
        <w:rPr>
          <w:rStyle w:val="1293"/>
        </w:rPr>
        <w:t xml:space="preserve">В настоящем разделе также могут быть приведены: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оснащению системы устройствами для обучения персонала (тренажерами, другими устройствами аналогичного назначения) и документацией на них;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тестовой среде и прочие требования, необходимые для проведения всех видов тестирования ИС;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системе, связанные с особыми условиями эксплуатации;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прочие специальные требования по усмотрению разработчика или заказчика системы.</w:t>
      </w:r>
      <w:r>
        <w:rPr>
          <w:rStyle w:val="1293"/>
        </w:rPr>
      </w:r>
      <w:r>
        <w:rPr>
          <w:rStyle w:val="1293"/>
        </w:rPr>
      </w:r>
    </w:p>
    <w:p>
      <w:pPr>
        <w:pStyle w:val="1205"/>
      </w:pPr>
      <w:r>
        <w:rPr>
          <w:rFonts w:ascii="Times New Roman" w:hAnsi="Times New Roman"/>
        </w:rPr>
        <w:t xml:space="preserve">Требования к ведению </w:t>
      </w:r>
      <w:r>
        <w:rPr>
          <w:rFonts w:ascii="Times New Roman" w:hAnsi="Times New Roman"/>
        </w:rPr>
        <w:t xml:space="preserve">работ по разработке или доработке ППО</w:t>
      </w:r>
      <w:r/>
    </w:p>
    <w:p>
      <w:pPr>
        <w:pStyle w:val="1226"/>
        <w:rPr>
          <w:rStyle w:val="1293"/>
          <w:i w:val="0"/>
        </w:rPr>
      </w:pPr>
      <w:r>
        <w:t xml:space="preserve">При ведении работ по разработке или доработке ППО необходимо выполнять требования Регламента сборки ИС ФК – </w:t>
      </w:r>
      <w:hyperlink r:id="rId19" w:tooltip="https://svn.sk.roskazna.ru/repos/fksuvvsvn/db01/" w:history="1">
        <w:r>
          <w:rPr>
            <w:rStyle w:val="1231"/>
          </w:rPr>
          <w:t xml:space="preserve">https://svn.sk.roskazna.ru/repos/fksuvvsvn/db01/</w:t>
        </w:r>
      </w:hyperlink>
      <w:r>
        <w:t xml:space="preserve">Разное/Регламенты/РегламентCборкиВерсийИСФК.pdf, Регламента размещения информации о технологиях разработки – </w:t>
      </w:r>
      <w:hyperlink r:id="rId20" w:tooltip="http://www.roskazna.ru/upload/iblock/2cf/reglament-razmeshcheniya-informatsii-o-tekhnologiyakh-razrabotki_16.docx" w:history="1">
        <w:r>
          <w:rPr>
            <w:rStyle w:val="1231"/>
          </w:rPr>
          <w:t xml:space="preserve">http://www.roskazna.ru/upload/iblock/2cf/reglament-razmeshcheniya-informatsii-o-tekhnologiyakh-razrabotki_16.docx</w:t>
        </w:r>
      </w:hyperlink>
      <w:r>
        <w:t xml:space="preserve">, а также вести работу в модуле "Система управления выпуском версий" компонента "Подсистема управления разработкой" подсистемы управления жизненным циклом СУЭ в соответствии с порядком - </w:t>
      </w:r>
      <w:hyperlink r:id="rId21" w:tooltip="https://dkb.sk.roskazna.ru/x/vZVj" w:history="1">
        <w:r>
          <w:rPr>
            <w:rStyle w:val="1231"/>
          </w:rPr>
          <w:t xml:space="preserve">https://dkb.sk.roskazna.ru/x/vZVj</w:t>
        </w:r>
      </w:hyperlink>
      <w:r>
        <w:rPr>
          <w:rStyle w:val="1293"/>
          <w:i w:val="0"/>
        </w:rPr>
      </w:r>
      <w:r>
        <w:rPr>
          <w:rStyle w:val="1293"/>
          <w:i w:val="0"/>
        </w:rPr>
      </w:r>
    </w:p>
    <w:p>
      <w:pPr>
        <w:pStyle w:val="1203"/>
        <w:rPr>
          <w:rFonts w:ascii="Times New Roman" w:hAnsi="Times New Roman"/>
        </w:rPr>
      </w:pPr>
      <w:r/>
      <w:bookmarkStart w:id="150" w:name="_Ref450225126"/>
      <w:r>
        <w:rPr>
          <w:rFonts w:ascii="Times New Roman" w:hAnsi="Times New Roman"/>
        </w:rPr>
        <w:br w:type="page" w:clear="all"/>
      </w:r>
      <w:bookmarkStart w:id="151" w:name="_Toc478556825"/>
      <w:r>
        <w:rPr>
          <w:rFonts w:ascii="Times New Roman" w:hAnsi="Times New Roman"/>
        </w:rPr>
        <w:t xml:space="preserve">    </w:t>
      </w:r>
      <w:bookmarkStart w:id="152" w:name="_Toc2762782"/>
      <w:r>
        <w:rPr>
          <w:rFonts w:ascii="Times New Roman" w:hAnsi="Times New Roman"/>
        </w:rPr>
        <w:t xml:space="preserve">Требования к функциям, выполняемым системой</w:t>
      </w:r>
      <w:bookmarkEnd w:id="150"/>
      <w:r/>
      <w:bookmarkEnd w:id="151"/>
      <w:r/>
      <w:bookmarkEnd w:id="152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Перечень функций и их наименования должны соответствовать содержанию раздела </w:t>
      </w:r>
      <w:r>
        <w:fldChar w:fldCharType="begin"/>
      </w:r>
      <w:r>
        <w:instrText xml:space="preserve"> REF _Ref478127136 \r \h  \* MERGEFORMAT </w:instrText>
      </w:r>
      <w:r>
        <w:fldChar w:fldCharType="separate"/>
      </w:r>
      <w:r>
        <w:t xml:space="preserve">4.1</w:t>
      </w:r>
      <w:r>
        <w:fldChar w:fldCharType="end"/>
      </w:r>
      <w:r>
        <w:t xml:space="preserve">.</w:t>
      </w:r>
      <w:r/>
    </w:p>
    <w:p>
      <w:pPr>
        <w:pStyle w:val="1223"/>
        <w:numPr>
          <w:ilvl w:val="0"/>
          <w:numId w:val="0"/>
        </w:numPr>
        <w:rPr>
          <w:rStyle w:val="1293"/>
        </w:rPr>
      </w:pPr>
      <w:r>
        <w:rPr>
          <w:rStyle w:val="1293"/>
        </w:rPr>
        <w:t xml:space="preserve">В настоящем разделе приводят: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перечень основных функций системы, общие требования к функциям системы. Отдельно должны быть выделены функции, имеющие критическое влияние на производственные процессы и приведено общее описание такого влияния;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функциональным областям (подсистемам);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описание функциональных элементов системы, процессов обработки информации в системе, взаимодействия между функциями в ходе исполнения процессов;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схему</w:t>
      </w:r>
      <w:r>
        <w:rPr>
          <w:rStyle w:val="1293"/>
        </w:rPr>
        <w:t xml:space="preserve"> и описание функциональной архитектуры, определяющие состав функциональных подсистем и комплексов задач, обеспечивающих реализацию бизнес-процессов;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схемы, описывающие функциональное взаимодействие подсистем.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по к</w:t>
      </w:r>
      <w:r>
        <w:rPr>
          <w:rStyle w:val="1293"/>
        </w:rPr>
        <w:t xml:space="preserve">аждой функциональной области (подсистеме) приводят перечень функций, задач или их комплексов (в том числе обеспечивающих взаимодействие частей системы), подлежащих автоматизации, а также требования к входным и выходным данным для каждого модуля подсистемы;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интерфейсам по каждой подсистеме (приводят описание всех форм и интерфейсов). При необходимости также приводят требования к справочникам и отчетам;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при создании системы в две или более очереди приводят перечень функциональных подсистем, отдельных функций или задач, вводимых в действие в первой и последующих очередях;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временной регламент реализации каждой функции, задачи (или комплекса задач);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</w:t>
      </w:r>
      <w:r>
        <w:rPr>
          <w:rStyle w:val="1293"/>
        </w:rPr>
        <w:t xml:space="preserve"> к качеству реализации каждой функции (задачи или комплекса задач), к форме представления выходной информации, характеристики необходимой точности и времени выполнения, требования одновременности выполнения группы функций, достоверности выдачи результатов;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перечень и критерии отказов для каждой функции, по которой задаются требования по надежности.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305"/>
        </w:rPr>
      </w:pPr>
      <w:r>
        <w:rPr>
          <w:rStyle w:val="1293"/>
        </w:rPr>
        <w:t xml:space="preserve">требования к логированию ключевых параметров функционирования и записи в журналы событий, сохранению достаточного набора информации, необходимой для идентификации сбоев ПО.</w:t>
      </w:r>
      <w:r>
        <w:rPr>
          <w:rStyle w:val="1305"/>
        </w:rPr>
      </w:r>
      <w:r>
        <w:rPr>
          <w:rStyle w:val="1305"/>
        </w:rPr>
      </w:r>
    </w:p>
    <w:p>
      <w:pPr>
        <w:pStyle w:val="1203"/>
        <w:rPr>
          <w:rFonts w:ascii="Times New Roman" w:hAnsi="Times New Roman"/>
        </w:rPr>
      </w:pPr>
      <w:r/>
      <w:bookmarkStart w:id="153" w:name="_Toc449441439"/>
      <w:r>
        <w:rPr>
          <w:rFonts w:ascii="Times New Roman" w:hAnsi="Times New Roman"/>
        </w:rPr>
        <w:br w:type="page" w:clear="all"/>
      </w:r>
      <w:bookmarkStart w:id="154" w:name="_Toc2762783"/>
      <w:r/>
      <w:bookmarkStart w:id="155" w:name="_Toc478556826"/>
      <w:r>
        <w:rPr>
          <w:rFonts w:ascii="Times New Roman" w:hAnsi="Times New Roman"/>
        </w:rPr>
        <w:t xml:space="preserve">Требования к видам обеспечения</w:t>
      </w:r>
      <w:bookmarkEnd w:id="153"/>
      <w:r/>
      <w:bookmarkEnd w:id="154"/>
      <w:r/>
      <w:bookmarkEnd w:id="155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04"/>
        <w:rPr>
          <w:rFonts w:ascii="Times New Roman" w:hAnsi="Times New Roman"/>
        </w:rPr>
      </w:pPr>
      <w:r/>
      <w:bookmarkStart w:id="156" w:name="_Toc449441440"/>
      <w:r/>
      <w:bookmarkStart w:id="157" w:name="_Toc2762784"/>
      <w:r/>
      <w:bookmarkStart w:id="158" w:name="_Toc478556827"/>
      <w:r>
        <w:rPr>
          <w:rFonts w:ascii="Times New Roman" w:hAnsi="Times New Roman"/>
        </w:rPr>
        <w:t xml:space="preserve">Требования к математическому обеспечению</w:t>
      </w:r>
      <w:bookmarkEnd w:id="156"/>
      <w:r/>
      <w:bookmarkEnd w:id="157"/>
      <w:r/>
      <w:bookmarkEnd w:id="158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  <w:rPr>
          <w:rStyle w:val="1293"/>
        </w:rPr>
      </w:pPr>
      <w:r>
        <w:rPr>
          <w:rStyle w:val="1293"/>
        </w:rPr>
        <w:t xml:space="preserve">В настоящем разделе приводят требования к составу, области применения (ограничения) и способам, использования в системе математических методов и моделей, типовых алгоритмов и алгоритмов, подлежащих разработке.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159" w:name="_Toc449441441"/>
      <w:r/>
      <w:bookmarkStart w:id="160" w:name="_Toc2762785"/>
      <w:r/>
      <w:bookmarkStart w:id="161" w:name="_Toc478556828"/>
      <w:r>
        <w:rPr>
          <w:rFonts w:ascii="Times New Roman" w:hAnsi="Times New Roman"/>
        </w:rPr>
        <w:t xml:space="preserve">Требования к информационному обеспечению</w:t>
      </w:r>
      <w:bookmarkEnd w:id="159"/>
      <w:r/>
      <w:bookmarkEnd w:id="160"/>
      <w:r/>
      <w:bookmarkEnd w:id="161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  <w:rPr>
          <w:rStyle w:val="1293"/>
        </w:rPr>
      </w:pPr>
      <w:r>
        <w:rPr>
          <w:rStyle w:val="1293"/>
        </w:rPr>
        <w:t xml:space="preserve">В настоящем разделе приводят требования: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 составу, структуре и способам организации данных в системе;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 информационному обмену между компонентами системы;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 информационной совместимости со смежными системами;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по использованию общесоюзных и зарегистрированных республиканских, отраслевых классификаторов, унифицированных документов и классификаторов, действующих на данном предприятии;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по применению систем управления базами данных;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 процессу сбора, обработки, передачи данных в системе и представлению данных;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 защите данных от разрушений при авариях и сбоях в электропитании системы;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 контролю, хранению, обновлению и восстановлению данных;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</w:pPr>
      <w:r>
        <w:rPr>
          <w:rStyle w:val="1293"/>
        </w:rPr>
        <w:t xml:space="preserve">к процедуре придания юридической силы документам, продуцируемым техническими средствами АС (в соответствии с ГОСТ 6.10.4</w:t>
      </w:r>
      <w:r>
        <w:rPr>
          <w:rStyle w:val="1293"/>
        </w:rPr>
        <w:t xml:space="preserve">-84</w:t>
      </w:r>
      <w:r>
        <w:rPr>
          <w:rStyle w:val="1293"/>
        </w:rPr>
        <w:t xml:space="preserve">).</w:t>
      </w:r>
      <w:r/>
    </w:p>
    <w:p>
      <w:pPr>
        <w:pStyle w:val="1204"/>
        <w:rPr>
          <w:rFonts w:ascii="Times New Roman" w:hAnsi="Times New Roman"/>
        </w:rPr>
      </w:pPr>
      <w:r/>
      <w:bookmarkStart w:id="162" w:name="_Toc449441442"/>
      <w:r/>
      <w:bookmarkStart w:id="163" w:name="_Toc2762786"/>
      <w:r/>
      <w:bookmarkStart w:id="164" w:name="_Toc478556829"/>
      <w:r>
        <w:rPr>
          <w:rFonts w:ascii="Times New Roman" w:hAnsi="Times New Roman"/>
        </w:rPr>
        <w:t xml:space="preserve">Требования к лингвистическому обеспечению</w:t>
      </w:r>
      <w:bookmarkEnd w:id="162"/>
      <w:r/>
      <w:bookmarkEnd w:id="163"/>
      <w:r/>
      <w:bookmarkEnd w:id="164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Все интерфейсы взаимодействия пользователей с ИС, включая справочную систему поддержки пользователей, должны быть выполнены на русском языке.</w:t>
      </w:r>
      <w:r/>
    </w:p>
    <w:p>
      <w:pPr>
        <w:pStyle w:val="1224"/>
      </w:pPr>
      <w:r>
        <w:t xml:space="preserve">В интерфейсах взаимодействия пользователей с ИС допускается присутствие общепринятых специальных терминов и определений, выполненных латинским шрифтом, при условии наличия расшифровки этих терминов и определений в справочной системе ИС.</w:t>
      </w:r>
      <w:r/>
    </w:p>
    <w:p>
      <w:pPr>
        <w:pStyle w:val="1224"/>
      </w:pPr>
      <w:r>
        <w:t xml:space="preserve">Программное обеспечение ИС должно обеспечивать корректную работу с русским и английским языками и возможность переключения между ними.</w:t>
      </w:r>
      <w:r/>
    </w:p>
    <w:p>
      <w:pPr>
        <w:pStyle w:val="1224"/>
      </w:pPr>
      <w:r>
        <w:t xml:space="preserve">Для интерфейсов взаимодействия технического персонала с ИС, используемых при техническом обслуживании ПАК ИС, а также для системных сообщений, выдаваемых программно-техническими средствами ИС, допускается использование английского языка.</w:t>
      </w:r>
      <w:r/>
    </w:p>
    <w:p>
      <w:pPr>
        <w:pStyle w:val="1204"/>
        <w:rPr>
          <w:rFonts w:ascii="Times New Roman" w:hAnsi="Times New Roman"/>
        </w:rPr>
      </w:pPr>
      <w:r/>
      <w:bookmarkStart w:id="165" w:name="_Toc449441443"/>
      <w:r/>
      <w:bookmarkStart w:id="166" w:name="_Toc2762787"/>
      <w:r/>
      <w:bookmarkStart w:id="167" w:name="_Toc478556830"/>
      <w:r>
        <w:rPr>
          <w:rFonts w:ascii="Times New Roman" w:hAnsi="Times New Roman"/>
        </w:rPr>
        <w:t xml:space="preserve">Требования к программному обеспечению</w:t>
      </w:r>
      <w:bookmarkEnd w:id="165"/>
      <w:r/>
      <w:bookmarkEnd w:id="166"/>
      <w:r/>
      <w:bookmarkEnd w:id="167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Программное обеспечение ИС должно обеспечивать заданные в ТЗ функциональные требования к ИС, включая достижение заданных показателей назначения.</w:t>
      </w:r>
      <w:r/>
    </w:p>
    <w:p>
      <w:pPr>
        <w:pStyle w:val="1224"/>
      </w:pPr>
      <w:r>
        <w:t xml:space="preserve">Программное обеспечение ИС в общем случае должно включать в свой состав программные компоненты, относящиеся к следующим категориям:</w:t>
      </w:r>
      <w:r/>
    </w:p>
    <w:p>
      <w:pPr>
        <w:pStyle w:val="1245"/>
      </w:pPr>
      <w:r>
        <w:t xml:space="preserve">системное программное обеспечение (далее - СПО), включающее:</w:t>
      </w:r>
      <w:r/>
    </w:p>
    <w:p>
      <w:pPr>
        <w:pStyle w:val="1246"/>
      </w:pPr>
      <w:r>
        <w:t xml:space="preserve">платформы виртуализации;</w:t>
      </w:r>
      <w:r/>
    </w:p>
    <w:p>
      <w:pPr>
        <w:pStyle w:val="1246"/>
      </w:pPr>
      <w:r>
        <w:t xml:space="preserve">операционные системы (ОС), в том числе и виртуальных серверов;</w:t>
      </w:r>
      <w:r/>
    </w:p>
    <w:p>
      <w:pPr>
        <w:pStyle w:val="1245"/>
      </w:pPr>
      <w:r>
        <w:t xml:space="preserve">базисное программное обеспечение (далее - БПО), включающее в себя ПО систем управления базами данных (далее - ПО СУБД);</w:t>
      </w:r>
      <w:r/>
    </w:p>
    <w:p>
      <w:pPr>
        <w:pStyle w:val="1245"/>
      </w:pPr>
      <w:r>
        <w:t xml:space="preserve">прикладное программное обеспечение (далее - ППО).</w:t>
      </w:r>
      <w:r/>
    </w:p>
    <w:p>
      <w:pPr>
        <w:pStyle w:val="1224"/>
      </w:pPr>
      <w:r>
        <w:t xml:space="preserve">Программное обеспечение ИС должно включать программные продукты специализированных фирм-разработчиков ПО в соответствующей предметной области.</w:t>
      </w:r>
      <w:r/>
    </w:p>
    <w:p>
      <w:pPr>
        <w:pStyle w:val="1224"/>
      </w:pPr>
      <w:r>
        <w:t xml:space="preserve">Выбор программного обеспечения ИС должен обеспечивать сохранение вложенных инвестиций Федерального казначейства и преемственность используемых технических решений.</w:t>
      </w:r>
      <w:r/>
    </w:p>
    <w:p>
      <w:pPr>
        <w:pStyle w:val="1224"/>
      </w:pPr>
      <w:r>
        <w:t xml:space="preserve">Решения по выбору и использованию программного обеспечения должны приниматься с учетом следующего:</w:t>
      </w:r>
      <w:r/>
    </w:p>
    <w:p>
      <w:pPr>
        <w:pStyle w:val="1245"/>
      </w:pPr>
      <w:r>
        <w:t xml:space="preserve">предлагаемое к использованию ПО должно быть лицензировано фирмой-производителем в соответствии с установленным порядком;</w:t>
      </w:r>
      <w:r/>
    </w:p>
    <w:p>
      <w:pPr>
        <w:pStyle w:val="1245"/>
      </w:pPr>
      <w:r>
        <w:t xml:space="preserve">для работы ПО СУБД и серверов приложений ИС желательно использовать операционную систему одного типа;</w:t>
      </w:r>
      <w:r/>
    </w:p>
    <w:p>
      <w:pPr>
        <w:pStyle w:val="1245"/>
      </w:pPr>
      <w:r>
        <w:t xml:space="preserve">решения по использованию ПО должны приниматься с учетом обеспечения его технической поддержки производителем;</w:t>
      </w:r>
      <w:r/>
    </w:p>
    <w:p>
      <w:pPr>
        <w:pStyle w:val="1245"/>
      </w:pPr>
      <w:r>
        <w:t xml:space="preserve">программное обеспечение должно поставляться с документацией, входящей в комплект этого программного обеспечения.</w:t>
      </w:r>
      <w:r/>
    </w:p>
    <w:p>
      <w:pPr>
        <w:pStyle w:val="1224"/>
      </w:pPr>
      <w:r>
        <w:t xml:space="preserve">Технические решения на базе вновь разрабатываемых программных средств могут </w:t>
      </w:r>
      <w:r>
        <w:t xml:space="preserve">применяться</w:t>
      </w:r>
      <w:r>
        <w:t xml:space="preserve"> в исключительных случаях и должны быть детально обоснованы в проектной документации.</w:t>
      </w:r>
      <w:r/>
    </w:p>
    <w:p>
      <w:pPr>
        <w:pStyle w:val="1224"/>
      </w:pPr>
      <w:r>
        <w:t xml:space="preserve">Функционирование программного обеспечения ИС не должно оказывать влияния на информационное обеспечение или снижать степень автоматизации рабочих процессов функциональной деятельности Федерального казначейства.</w:t>
      </w:r>
      <w:r/>
    </w:p>
    <w:p>
      <w:pPr>
        <w:pStyle w:val="1224"/>
      </w:pPr>
      <w:r>
        <w:t xml:space="preserve">Программное обеспечение ИС должно обеспечивать в процессе своего функционирования обмен информацией со смежными системами на основе открытых форматов и стандартных протоколов обмена данными.</w:t>
      </w:r>
      <w:r/>
    </w:p>
    <w:p>
      <w:pPr>
        <w:pStyle w:val="1224"/>
      </w:pPr>
      <w:r>
        <w:t xml:space="preserve">ИС должна позволять осуществлять настройку ее программных компонентов и дальнейшее развитие ее функциональности.</w:t>
      </w:r>
      <w:r/>
    </w:p>
    <w:p>
      <w:pPr>
        <w:pStyle w:val="1224"/>
      </w:pPr>
      <w:r>
        <w:t xml:space="preserve">ИС должна обеспечивать визуальное проектирование и настройку в части:</w:t>
      </w:r>
      <w:r/>
    </w:p>
    <w:p>
      <w:pPr>
        <w:pStyle w:val="1245"/>
      </w:pPr>
      <w:r>
        <w:t xml:space="preserve">Повторно используемых типовых объектов - в виде редактора типовых объектов для модели данных формуляра и для визуального редактора;</w:t>
      </w:r>
      <w:r/>
    </w:p>
    <w:p>
      <w:pPr>
        <w:pStyle w:val="1245"/>
      </w:pPr>
      <w:r>
        <w:t xml:space="preserve">Модели данных формуляра - в виде редактора структуры данных формуляра с использованием типовых объектов;</w:t>
      </w:r>
      <w:r/>
    </w:p>
    <w:p>
      <w:pPr>
        <w:pStyle w:val="1245"/>
      </w:pPr>
      <w:r>
        <w:t xml:space="preserve">Статусной модели формуляров - в виде редактора диаграммы состояний;</w:t>
      </w:r>
      <w:r/>
    </w:p>
    <w:p>
      <w:pPr>
        <w:pStyle w:val="1245"/>
      </w:pPr>
      <w:r>
        <w:t xml:space="preserve">Визуальной формы - в виде редактора визуального представления формуляра;</w:t>
      </w:r>
      <w:r/>
    </w:p>
    <w:p>
      <w:pPr>
        <w:pStyle w:val="1245"/>
      </w:pPr>
      <w:r>
        <w:t xml:space="preserve">Печатной формы - в виде редактора печатного представления формуляра;</w:t>
      </w:r>
      <w:r/>
    </w:p>
    <w:p>
      <w:pPr>
        <w:pStyle w:val="1245"/>
      </w:pPr>
      <w:r>
        <w:t xml:space="preserve">Списковой формы – в виде редактора представления списка формуляров, правил их сортировки и фильтрации и выполнения действий над формулярами;</w:t>
      </w:r>
      <w:r/>
    </w:p>
    <w:p>
      <w:pPr>
        <w:pStyle w:val="1245"/>
      </w:pPr>
      <w:r>
        <w:t xml:space="preserve">Схемы электронной подписи – в виде части редактора модели данных формуляра, в которой можно отмечать атрибуты формуляра, которые входят в схему подписи;</w:t>
      </w:r>
      <w:r/>
    </w:p>
    <w:p>
      <w:pPr>
        <w:pStyle w:val="1245"/>
      </w:pPr>
      <w:r>
        <w:t xml:space="preserve">Правил начального заполнения формуляров и формирования формуляров на основании других формуляров – в виде редактора XSL преобразований и правил заполнения и копирования формуляров;</w:t>
      </w:r>
      <w:r/>
    </w:p>
    <w:p>
      <w:pPr>
        <w:pStyle w:val="1245"/>
      </w:pPr>
      <w:r>
        <w:t xml:space="preserve">Использования предустановленных процедур и сервисов;</w:t>
      </w:r>
      <w:r/>
    </w:p>
    <w:p>
      <w:pPr>
        <w:pStyle w:val="1245"/>
      </w:pPr>
      <w:r>
        <w:t xml:space="preserve">Контроля заполнения формуляра - в виде редактора выражений по контролю значений.</w:t>
      </w:r>
      <w:r/>
    </w:p>
    <w:p>
      <w:pPr>
        <w:pStyle w:val="1224"/>
      </w:pPr>
      <w:r>
        <w:t xml:space="preserve">Должна обеспечиваться возможность формировать все отчетные и печатные формы </w:t>
      </w:r>
      <w:r>
        <w:t xml:space="preserve">(импортируемые/экспортируемые) </w:t>
      </w:r>
      <w:r>
        <w:t xml:space="preserve">в открытых форматах, определенных в Постановлении Правительства Российской Федерации от 23.03.2017 № 325):</w:t>
      </w:r>
      <w:r/>
    </w:p>
    <w:p>
      <w:pPr>
        <w:pStyle w:val="1245"/>
      </w:pPr>
      <w:r>
        <w:t xml:space="preserve">создание электронных текстовых документов, в том числе в форматах Open Document Format (ГОСТ Р ИСО/МЭК 26300-2010) и Office Open XML (OOXML, DOCX);</w:t>
      </w:r>
      <w:r/>
    </w:p>
    <w:p>
      <w:pPr>
        <w:pStyle w:val="1245"/>
      </w:pPr>
      <w:r>
        <w:t xml:space="preserve">создание новых электронных табличных документов, в том числе в форматах Open Document Format (ГОСТ Р ИСО/МЭК 26300-2010) и Office Open XML (OOXML, XLSX);</w:t>
      </w:r>
      <w:r/>
    </w:p>
    <w:p>
      <w:pPr>
        <w:pStyle w:val="1245"/>
      </w:pPr>
      <w:r>
        <w:t xml:space="preserve">создание новых электронных документов презентаций, в том числе в форматах Open Document Format (ГОСТ Р ИСО/МЭК 26300-2010) и Office Open XML (OOXML, PPTX).</w:t>
      </w:r>
      <w:r/>
    </w:p>
    <w:p>
      <w:pPr>
        <w:pStyle w:val="1224"/>
        <w:numPr>
          <w:ilvl w:val="0"/>
          <w:numId w:val="0"/>
        </w:numPr>
      </w:pPr>
      <w:r/>
      <w:r/>
    </w:p>
    <w:p>
      <w:pPr>
        <w:pStyle w:val="1224"/>
      </w:pPr>
      <w:r>
        <w:t xml:space="preserve">Должна обеспечиваться возможность настройки конфигурационных параметров</w:t>
      </w:r>
      <w:r>
        <w:rPr>
          <w:rStyle w:val="1252"/>
        </w:rPr>
        <w:footnoteReference w:id="9"/>
      </w:r>
      <w:r>
        <w:t xml:space="preserve"> ППО без внесения изменений в программный код. Параметры конфигурации должны храниться в реестрах операционных систем, конфигурационных файлах, базах данных. Расположение и наименование файлов</w:t>
      </w:r>
      <w:r>
        <w:t xml:space="preserve"> конфигурации, хранящих такие параметры, при наличии технической возможности должно задаваться в переменных окружения (переменных среды), поддерживаемых в операционных системах. Жёсткое задание конфигурационных параметров в программном коде не допускается.</w:t>
      </w:r>
      <w:r/>
    </w:p>
    <w:p>
      <w:pPr>
        <w:pStyle w:val="1224"/>
      </w:pPr>
      <w:r>
        <w:t xml:space="preserve">Ф</w:t>
      </w:r>
      <w:r>
        <w:t xml:space="preserve">ункционирование и администрирование ИС должно поддерживаться в следующих интернет-обозревателях: </w:t>
      </w:r>
      <w:r>
        <w:t xml:space="preserve">Яндекс.Браузер</w:t>
      </w:r>
      <w:r>
        <w:t xml:space="preserve">, </w:t>
      </w:r>
      <w:r>
        <w:rPr>
          <w:lang w:val="en-US"/>
        </w:rPr>
        <w:t xml:space="preserve">Chromium</w:t>
      </w:r>
      <w:r>
        <w:t xml:space="preserve"> </w:t>
      </w:r>
      <w:r>
        <w:rPr>
          <w:lang w:val="en-US"/>
        </w:rPr>
        <w:t xml:space="preserve">Gost</w:t>
      </w:r>
      <w:r>
        <w:t xml:space="preserve"> (для Linux или иной браузер, работающий с TLS ГОСТ Р 34.10-2012)</w:t>
      </w:r>
      <w:r>
        <w:t xml:space="preserve">. </w:t>
      </w:r>
      <w:r>
        <w:t xml:space="preserve">При этом может не поддерживаться часть функционала в интернет-обозревателях более ранних версий (</w:t>
      </w:r>
      <w:r>
        <w:t xml:space="preserve">должны быть указаны более ранние версии </w:t>
      </w:r>
      <w:r>
        <w:t xml:space="preserve">для перечисленных выше интернет-браузеров), а также интернет-обозревателях других разработчиков.</w:t>
      </w:r>
      <w:r/>
    </w:p>
    <w:p>
      <w:pPr>
        <w:pStyle w:val="1224"/>
      </w:pPr>
      <w:r>
        <w:t xml:space="preserve">Функционирование ИС должно поддерживаться в ОС Linux, версии которых присутствуют в едином реестре российских программ для электронных вычислительных машин и баз данных Министерства цифрового развития, связи и массовых коммуникаций</w:t>
      </w:r>
      <w:r>
        <w:t xml:space="preserve"> </w:t>
      </w:r>
      <w:r>
        <w:t xml:space="preserve">РФ</w:t>
      </w:r>
      <w:r>
        <w:t xml:space="preserve"> </w:t>
      </w:r>
      <w:r>
        <w:t xml:space="preserve">и поддерживают:</w:t>
      </w:r>
      <w:r/>
    </w:p>
    <w:p>
      <w:pPr>
        <w:numPr>
          <w:ilvl w:val="1"/>
          <w:numId w:val="36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сертифицированные средства создания защищенного TLS соединения с использованием ал</w:t>
      </w:r>
      <w:r>
        <w:rPr>
          <w:sz w:val="28"/>
          <w:szCs w:val="28"/>
        </w:rPr>
        <w:t xml:space="preserve">горитма шифрования ГОСТ 34.12-2018 и ГОСТ 34.13-2018, алгоритма выработки и проверки электронной подписи ГОСТ Р 34.10-2012, алгоритма хеширования ГОСТ Р 34.11-2012;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36"/>
        </w:numPr>
        <w:spacing w:before="100" w:beforeAutospacing="1" w:after="100" w:afterAutospacing="1"/>
        <w:rPr>
          <w:szCs w:val="28"/>
        </w:rPr>
      </w:pPr>
      <w:r>
        <w:rPr>
          <w:sz w:val="28"/>
          <w:szCs w:val="28"/>
        </w:rPr>
        <w:t xml:space="preserve">средства выработки электронной подписи КриптоПро </w:t>
      </w:r>
      <w:r>
        <w:rPr>
          <w:sz w:val="28"/>
          <w:szCs w:val="28"/>
        </w:rPr>
        <w:t xml:space="preserve">CSP.</w:t>
      </w:r>
      <w:r>
        <w:rPr>
          <w:szCs w:val="28"/>
        </w:rPr>
      </w:r>
      <w:r>
        <w:rPr>
          <w:szCs w:val="28"/>
        </w:rPr>
      </w:r>
    </w:p>
    <w:p>
      <w:pPr>
        <w:pStyle w:val="1224"/>
      </w:pPr>
      <w:r>
        <w:t xml:space="preserve">В качестве серверной ОС должна использоваться отечественная </w:t>
      </w:r>
      <w:r>
        <w:t xml:space="preserve">ОС, согласованная с Заказчиком и входящая</w:t>
      </w:r>
      <w:r>
        <w:t xml:space="preserve"> в единый реестр</w:t>
      </w:r>
      <w:r>
        <w:t xml:space="preserve"> российских программ для электронных вычислительных машин и баз данных Министерства цифрового развития, связи и массовых коммуникаций </w:t>
      </w:r>
      <w:r>
        <w:t xml:space="preserve">РФ.</w:t>
      </w:r>
      <w:r/>
    </w:p>
    <w:p>
      <w:pPr>
        <w:pStyle w:val="1224"/>
      </w:pPr>
      <w:r>
        <w:t xml:space="preserve">Программное обеспечение, используемое в составе ИС, должно обеспечивать катастрофоустойчивость системы.</w:t>
      </w:r>
      <w:r/>
    </w:p>
    <w:p>
      <w:pPr>
        <w:pStyle w:val="1247"/>
        <w:ind w:firstLine="708"/>
        <w:rPr>
          <w:color w:val="auto"/>
          <w:sz w:val="28"/>
        </w:rPr>
      </w:pPr>
      <w:r>
        <w:rPr>
          <w:color w:val="auto"/>
          <w:sz w:val="28"/>
        </w:rPr>
        <w:t xml:space="preserve">Должна быть обеспечена возможность восстановления работоспособности </w:t>
      </w:r>
      <w:r>
        <w:rPr>
          <w:rStyle w:val="1312"/>
          <w:b w:val="0"/>
          <w:color w:val="auto"/>
          <w:sz w:val="28"/>
        </w:rPr>
        <w:t xml:space="preserve">ИС </w:t>
      </w:r>
      <w:r>
        <w:rPr>
          <w:color w:val="auto"/>
          <w:sz w:val="28"/>
        </w:rPr>
        <w:t xml:space="preserve">после событий, повлёкших за собой невозможность использования ЦОД: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numPr>
          <w:ilvl w:val="0"/>
          <w:numId w:val="37"/>
        </w:numPr>
        <w:jc w:val="left"/>
        <w:spacing w:before="100" w:beforeAutospacing="1" w:after="100" w:afterAutospacing="1"/>
        <w:rPr>
          <w:color w:val="auto"/>
          <w:sz w:val="28"/>
        </w:rPr>
      </w:pPr>
      <w:r>
        <w:rPr>
          <w:color w:val="auto"/>
          <w:sz w:val="28"/>
        </w:rPr>
        <w:t xml:space="preserve">выход из строя каналов энергоснабжения;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numPr>
          <w:ilvl w:val="0"/>
          <w:numId w:val="37"/>
        </w:numPr>
        <w:jc w:val="left"/>
        <w:spacing w:before="100" w:beforeAutospacing="1" w:after="100" w:afterAutospacing="1"/>
        <w:rPr>
          <w:color w:val="auto"/>
          <w:sz w:val="28"/>
        </w:rPr>
      </w:pPr>
      <w:r>
        <w:rPr>
          <w:color w:val="auto"/>
          <w:sz w:val="28"/>
        </w:rPr>
        <w:t xml:space="preserve">наводнение, пожар, землетрясение и другие природные явления;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numPr>
          <w:ilvl w:val="0"/>
          <w:numId w:val="37"/>
        </w:numPr>
        <w:jc w:val="left"/>
        <w:spacing w:before="100" w:beforeAutospacing="1" w:after="100" w:afterAutospacing="1"/>
        <w:rPr>
          <w:color w:val="auto"/>
          <w:sz w:val="28"/>
        </w:rPr>
      </w:pPr>
      <w:r>
        <w:rPr>
          <w:color w:val="auto"/>
          <w:sz w:val="28"/>
        </w:rPr>
        <w:t xml:space="preserve">война, военные действия, блокада, террористические акты;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pStyle w:val="1247"/>
        <w:ind w:firstLine="708"/>
        <w:rPr>
          <w:color w:val="auto"/>
          <w:sz w:val="28"/>
        </w:rPr>
      </w:pPr>
      <w:r>
        <w:rPr>
          <w:rStyle w:val="1312"/>
          <w:b w:val="0"/>
          <w:color w:val="auto"/>
          <w:sz w:val="28"/>
        </w:rPr>
        <w:t xml:space="preserve">ИС</w:t>
      </w:r>
      <w:r>
        <w:rPr>
          <w:color w:val="auto"/>
          <w:sz w:val="28"/>
        </w:rPr>
        <w:t xml:space="preserve"> должна поддерживат</w:t>
      </w:r>
      <w:r>
        <w:rPr>
          <w:color w:val="auto"/>
          <w:sz w:val="28"/>
        </w:rPr>
        <w:t xml:space="preserve">ь георезервирование. Все данные и настройки должны храниться одновременно в двух разных центрах обработки данных с временем синхронизации по сроку RPO. Взаимодействие между ЦОД должно обеспечиваться в асинхронном режиме с гарантированным способом доставки.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pStyle w:val="1247"/>
        <w:rPr>
          <w:color w:val="auto"/>
          <w:sz w:val="28"/>
        </w:rPr>
      </w:pPr>
      <w:r>
        <w:rPr>
          <w:color w:val="auto"/>
          <w:sz w:val="28"/>
        </w:rPr>
        <w:t xml:space="preserve">Допустимый временной интервал возможных потерь данных при резервировании (RPO) – </w:t>
      </w:r>
      <w:r>
        <w:rPr>
          <w:rStyle w:val="1312"/>
          <w:b w:val="0"/>
          <w:color w:val="auto"/>
          <w:sz w:val="28"/>
        </w:rPr>
        <w:t xml:space="preserve">5 минут</w:t>
      </w:r>
      <w:r>
        <w:rPr>
          <w:color w:val="auto"/>
          <w:sz w:val="28"/>
        </w:rPr>
        <w:t xml:space="preserve">.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pStyle w:val="1247"/>
        <w:ind w:firstLine="708"/>
        <w:rPr>
          <w:color w:val="auto"/>
          <w:sz w:val="28"/>
        </w:rPr>
      </w:pPr>
      <w:r>
        <w:rPr>
          <w:color w:val="auto"/>
          <w:sz w:val="28"/>
        </w:rPr>
        <w:t xml:space="preserve">Время полного восстановления системы к нормально</w:t>
      </w:r>
      <w:r>
        <w:rPr>
          <w:color w:val="auto"/>
          <w:sz w:val="28"/>
        </w:rPr>
        <w:t xml:space="preserve">му состоянию после аварии, включая время на восстановление и корректировку технологических и бизнес данных, проверку ППО до момента выполнения бизнес-процессов в штатном режиме в резервном ЦОД, в случае потери технологических и бизнес данных в ЦОД (RTO) – </w:t>
      </w:r>
      <w:r>
        <w:rPr>
          <w:rStyle w:val="1312"/>
          <w:b w:val="0"/>
          <w:color w:val="auto"/>
          <w:sz w:val="28"/>
        </w:rPr>
        <w:t xml:space="preserve">не более 2 часов.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pStyle w:val="1247"/>
        <w:ind w:firstLine="708"/>
        <w:rPr>
          <w:color w:val="auto"/>
          <w:sz w:val="28"/>
        </w:rPr>
      </w:pPr>
      <w:r>
        <w:rPr>
          <w:color w:val="auto"/>
          <w:sz w:val="28"/>
        </w:rPr>
        <w:t xml:space="preserve">Доля рабочей нагрузки, которую должна обеспечивать резервная система при аварийной ситуации (RCO) - </w:t>
      </w:r>
      <w:r>
        <w:rPr>
          <w:rStyle w:val="1312"/>
          <w:b w:val="0"/>
          <w:color w:val="auto"/>
          <w:sz w:val="28"/>
        </w:rPr>
        <w:t xml:space="preserve">100%.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pStyle w:val="1247"/>
        <w:ind w:firstLine="708"/>
        <w:rPr>
          <w:color w:val="auto"/>
          <w:sz w:val="28"/>
        </w:rPr>
      </w:pPr>
      <w:r>
        <w:rPr>
          <w:color w:val="auto"/>
          <w:sz w:val="28"/>
        </w:rPr>
        <w:t xml:space="preserve">Катастрофоустойчивость </w:t>
      </w:r>
      <w:r>
        <w:rPr>
          <w:rStyle w:val="1312"/>
          <w:b w:val="0"/>
          <w:color w:val="auto"/>
          <w:sz w:val="28"/>
        </w:rPr>
        <w:t xml:space="preserve">ИС </w:t>
      </w:r>
      <w:r>
        <w:rPr>
          <w:color w:val="auto"/>
          <w:sz w:val="28"/>
        </w:rPr>
        <w:t xml:space="preserve">должна обеспечиваться на уровне БПО и ППО </w:t>
      </w:r>
      <w:r>
        <w:rPr>
          <w:rStyle w:val="1312"/>
          <w:b w:val="0"/>
          <w:color w:val="auto"/>
          <w:sz w:val="28"/>
        </w:rPr>
        <w:t xml:space="preserve">ИС</w:t>
      </w:r>
      <w:r>
        <w:rPr>
          <w:color w:val="auto"/>
          <w:sz w:val="28"/>
        </w:rPr>
        <w:t xml:space="preserve">.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pStyle w:val="1247"/>
        <w:ind w:firstLine="708"/>
        <w:rPr>
          <w:color w:val="auto"/>
          <w:sz w:val="28"/>
        </w:rPr>
      </w:pPr>
      <w:r>
        <w:rPr>
          <w:color w:val="auto"/>
          <w:sz w:val="28"/>
        </w:rPr>
        <w:t xml:space="preserve">Решения по обеспечению катастрофоустойчивости должны гарантировать работоспособность на уровне показателей назначения </w:t>
      </w:r>
      <w:r>
        <w:rPr>
          <w:rStyle w:val="1312"/>
          <w:b w:val="0"/>
          <w:color w:val="auto"/>
          <w:sz w:val="28"/>
        </w:rPr>
        <w:t xml:space="preserve">ИС</w:t>
      </w:r>
      <w:r>
        <w:rPr>
          <w:color w:val="auto"/>
          <w:sz w:val="28"/>
        </w:rPr>
        <w:t xml:space="preserve">.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pStyle w:val="1247"/>
        <w:ind w:firstLine="708"/>
        <w:rPr>
          <w:color w:val="auto"/>
          <w:sz w:val="28"/>
        </w:rPr>
      </w:pPr>
      <w:r>
        <w:rPr>
          <w:color w:val="auto"/>
          <w:sz w:val="28"/>
        </w:rPr>
        <w:t xml:space="preserve">Допускаются схемы active-passive (переключение на резервный ЦОД в случае невозможности использовать основной ЦОД) и active-active, когда оба ЦОД активны.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pStyle w:val="1247"/>
        <w:ind w:firstLine="708"/>
        <w:rPr>
          <w:color w:val="auto"/>
          <w:sz w:val="28"/>
        </w:rPr>
      </w:pPr>
      <w:r>
        <w:rPr>
          <w:color w:val="auto"/>
          <w:sz w:val="28"/>
        </w:rPr>
        <w:t xml:space="preserve">Подрядчик</w:t>
      </w:r>
      <w:r>
        <w:rPr>
          <w:color w:val="auto"/>
          <w:sz w:val="28"/>
        </w:rPr>
        <w:t xml:space="preserve"> должен передать Заказчику методики и инструментарий решения по обеспечению катастрофоустойчивости.</w:t>
      </w:r>
      <w:r>
        <w:rPr>
          <w:color w:val="auto"/>
          <w:sz w:val="28"/>
        </w:rPr>
      </w:r>
      <w:r>
        <w:rPr>
          <w:color w:val="auto"/>
          <w:sz w:val="28"/>
        </w:rPr>
      </w:r>
    </w:p>
    <w:p>
      <w:pPr>
        <w:pStyle w:val="1224"/>
        <w:numPr>
          <w:ilvl w:val="0"/>
          <w:numId w:val="0"/>
        </w:numPr>
      </w:pPr>
      <w:r/>
      <w:r/>
    </w:p>
    <w:p>
      <w:pPr>
        <w:pStyle w:val="1224"/>
      </w:pPr>
      <w:r>
        <w:t xml:space="preserve">Для каждого программного компонента ИС должны быть разработаны и включены в состав рабочей документации детальные инструкции по его установке и настройке.</w:t>
      </w:r>
      <w:r/>
    </w:p>
    <w:p>
      <w:pPr>
        <w:pStyle w:val="1224"/>
      </w:pPr>
      <w:r>
        <w:t xml:space="preserve">Для каждого программного компонента ИС должны быть разработаны и включены в состав технической документации ИС требования к аппаратной платформе (включая ОС), на которой этот компонент должен функционировать. </w:t>
      </w:r>
      <w:r/>
    </w:p>
    <w:p>
      <w:pPr>
        <w:pStyle w:val="1224"/>
      </w:pPr>
      <w:r>
        <w:t xml:space="preserve">Для каждого программного компонента ИС должно быть указано, возможна ли его установка на виртуальной машине, и, если возможна, то в какой среде виртуализации.</w:t>
      </w:r>
      <w:r/>
    </w:p>
    <w:p>
      <w:pPr>
        <w:pStyle w:val="1224"/>
      </w:pPr>
      <w:r>
        <w:t xml:space="preserve">Перечень и наименования всех программных компонентов ИС, приведенные в документе «Паспорт ИТ-сервиса», в т.ч на схеме СРМ, должны в точности соответствовать аналогичным данным, приведенным в остальной рабочей документации ИС.</w:t>
      </w:r>
      <w:r/>
    </w:p>
    <w:p>
      <w:pPr>
        <w:pStyle w:val="1204"/>
        <w:rPr>
          <w:rFonts w:ascii="Times New Roman" w:hAnsi="Times New Roman"/>
        </w:rPr>
      </w:pPr>
      <w:r/>
      <w:bookmarkStart w:id="283" w:name="_Toc449441444"/>
      <w:r/>
      <w:bookmarkStart w:id="284" w:name="_Toc2762788"/>
      <w:r/>
      <w:bookmarkStart w:id="285" w:name="_Toc478556831"/>
      <w:r>
        <w:rPr>
          <w:rFonts w:ascii="Times New Roman" w:hAnsi="Times New Roman"/>
        </w:rPr>
        <w:t xml:space="preserve">Требования к техническому обеспечению</w:t>
      </w:r>
      <w:bookmarkEnd w:id="283"/>
      <w:r/>
      <w:bookmarkEnd w:id="284"/>
      <w:r/>
      <w:bookmarkEnd w:id="285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Комплекс технических средств (далее - КТС) ИС должен обеспечивать заданные в настоящем ТЗ функциональные требования к ИС, включая достижение заданных показателей назначения. </w:t>
      </w:r>
      <w:r/>
    </w:p>
    <w:p>
      <w:pPr>
        <w:pStyle w:val="1224"/>
      </w:pPr>
      <w:r>
        <w:t xml:space="preserve">Технические средства, используемые в составе ИС, должны иметь открытую архитектуру и соответствовать отечественным и международным стандартам.</w:t>
      </w:r>
      <w:r/>
    </w:p>
    <w:p>
      <w:pPr>
        <w:pStyle w:val="1224"/>
      </w:pPr>
      <w:r>
        <w:t xml:space="preserve">Технические средства, используемые в составе ИС, должны обеспечивать катастрофоустойчивость системы.</w:t>
      </w:r>
      <w:r/>
    </w:p>
    <w:p>
      <w:pPr>
        <w:pStyle w:val="1224"/>
      </w:pPr>
      <w:r>
        <w:t xml:space="preserve">Технические средства и программное обеспечение для организации катастрофоустойчивого функционирования ИС не должны требовать доработки и/или обновлений ПО ИС.</w:t>
      </w:r>
      <w:r/>
    </w:p>
    <w:p>
      <w:pPr>
        <w:pStyle w:val="1224"/>
      </w:pPr>
      <w:r>
        <w:t xml:space="preserve">Решения по выбору и использованию технических средств должны приниматься с учетом следующего:</w:t>
      </w:r>
      <w:r/>
    </w:p>
    <w:p>
      <w:pPr>
        <w:pStyle w:val="1245"/>
      </w:pPr>
      <w:r>
        <w:t xml:space="preserve">в качестве технических средств должно использоваться унифицированное, серийно выпускаемое аппаратное обеспечение со сроком службы не менее 10 лет, имеющее техническую поддержку со стороны фирмы-производителя и поставляемое с полным комплектом документации;</w:t>
      </w:r>
      <w:r/>
    </w:p>
    <w:p>
      <w:pPr>
        <w:pStyle w:val="1245"/>
      </w:pPr>
      <w:r>
        <w:t xml:space="preserve">предлагаемые к использованию устройства и программно-аппаратные комплексы должны быть лицензированы фирмой-производителем в соответствии с установленным порядком;</w:t>
      </w:r>
      <w:r/>
    </w:p>
    <w:p>
      <w:pPr>
        <w:pStyle w:val="1224"/>
      </w:pPr>
      <w:r>
        <w:t xml:space="preserve">Выбор технического обеспечения ИС должен обеспечивать сохранение вложенных инвестиций Федерального казначейства и преемственность используемых технических решений.</w:t>
      </w:r>
      <w:r/>
    </w:p>
    <w:p>
      <w:pPr>
        <w:pStyle w:val="1224"/>
      </w:pPr>
      <w:r>
        <w:t xml:space="preserve">Серверы, применяемые в составе КТС ИС, должны поддерживать технологии виртуализации. </w:t>
      </w:r>
      <w:r/>
    </w:p>
    <w:p>
      <w:pPr>
        <w:pStyle w:val="1224"/>
      </w:pPr>
      <w:r>
        <w:t xml:space="preserve">Для размещения СУБД с аналитической нагрузкой возможно использование специализированных программно-аппаратных комплексов, предназначенных для выполнения сложных аналитических запросов на сверхбольших объемах данных.</w:t>
      </w:r>
      <w:r/>
    </w:p>
    <w:p>
      <w:pPr>
        <w:pStyle w:val="1224"/>
      </w:pPr>
      <w:r>
        <w:t xml:space="preserve">Выполнение требований к надежности на уровне технического обеспечения должно обеспечиваться следующими способами:</w:t>
      </w:r>
      <w:r/>
    </w:p>
    <w:p>
      <w:pPr>
        <w:pStyle w:val="1245"/>
      </w:pPr>
      <w:r>
        <w:t xml:space="preserve">использованием технических средств известных фирм-производителей;</w:t>
      </w:r>
      <w:r/>
    </w:p>
    <w:p>
      <w:pPr>
        <w:pStyle w:val="1245"/>
      </w:pPr>
      <w:r>
        <w:t xml:space="preserve">резервированием технических средств целиком за счет их избыточного количества с возможностью автоматического переключения;</w:t>
      </w:r>
      <w:r/>
    </w:p>
    <w:p>
      <w:pPr>
        <w:pStyle w:val="1245"/>
      </w:pPr>
      <w:r>
        <w:t xml:space="preserve">использованием отказоустойчивых технических средств, содержащих резервные компоненты с возможностью автоматического переключения.</w:t>
      </w:r>
      <w:r/>
    </w:p>
    <w:p>
      <w:pPr>
        <w:pStyle w:val="1224"/>
      </w:pPr>
      <w:r>
        <w:t xml:space="preserve">В технической документации ИС должна быть приведены следующие требования к компонентам КТС ИС:</w:t>
      </w:r>
      <w:r/>
    </w:p>
    <w:p>
      <w:pPr>
        <w:pStyle w:val="1245"/>
      </w:pPr>
      <w:r>
        <w:t xml:space="preserve">требования к типу и характеристикам серверного оборудования, включая количество процессорных ядер и их тип, объем оперативной и дисковой памяти, в т.ч на внешних устройствах СХД, тип и </w:t>
      </w:r>
      <w:r>
        <w:t xml:space="preserve">верси</w:t>
      </w:r>
      <w:r>
        <w:t xml:space="preserve">я</w:t>
      </w:r>
      <w:r>
        <w:t xml:space="preserve"> операционной системы и т.д.;</w:t>
      </w:r>
      <w:r/>
    </w:p>
    <w:p>
      <w:pPr>
        <w:pStyle w:val="1245"/>
      </w:pPr>
      <w:r>
        <w:t xml:space="preserve">требования к каналам связи:</w:t>
      </w:r>
      <w:r/>
    </w:p>
    <w:p>
      <w:pPr>
        <w:pStyle w:val="1246"/>
      </w:pPr>
      <w:r>
        <w:t xml:space="preserve">исходящая и входящая пропускная способность каналов связи, используемых ИС;</w:t>
      </w:r>
      <w:r/>
    </w:p>
    <w:p>
      <w:pPr>
        <w:pStyle w:val="1246"/>
      </w:pPr>
      <w:r>
        <w:t xml:space="preserve">максимальная и/или средняя задержка в каналах связи;</w:t>
      </w:r>
      <w:r/>
    </w:p>
    <w:p>
      <w:pPr>
        <w:pStyle w:val="1246"/>
      </w:pPr>
      <w:r>
        <w:t xml:space="preserve">требования к каналам связи должны быть обоснованы в проектных решениях, в т.ч. с использованием данных таблицы информационных потоков ИС, представленной в «Паспорте ИТ-сервиса»;</w:t>
      </w:r>
      <w:r/>
    </w:p>
    <w:p>
      <w:pPr>
        <w:pStyle w:val="1245"/>
      </w:pPr>
      <w:r>
        <w:t xml:space="preserve">требования к системам хранения данных, включая тип СХД, количество и тип дисков, разбивку дисков на логические разделы, тип интерфейсов;</w:t>
      </w:r>
      <w:r/>
    </w:p>
    <w:p>
      <w:pPr>
        <w:pStyle w:val="1245"/>
      </w:pPr>
      <w:r>
        <w:t xml:space="preserve">требования к рабочим станциям пользователя ИС (количество процессорных ядер и их тип, объем оперативной и дисковой памяти, тип и версия операционной системы, тип и версия интернет-обозревателя, тип и версии офисного ПО). </w:t>
      </w:r>
      <w:r/>
    </w:p>
    <w:p>
      <w:pPr>
        <w:pStyle w:val="1224"/>
      </w:pPr>
      <w:r>
        <w:t xml:space="preserve">В рабочей д</w:t>
      </w:r>
      <w:r>
        <w:t xml:space="preserve">окументации ИС должны быть сформулированы минимальные требования к производительности и конфигурации компонентов КТС, соблюдение которых обеспечивает возможность проведения полномасштабного функционального, интеграционного и регрессионного тестирования ИС.</w:t>
      </w:r>
      <w:r/>
    </w:p>
    <w:p>
      <w:pPr>
        <w:pStyle w:val="1224"/>
      </w:pPr>
      <w:r>
        <w:t xml:space="preserve">Для каждого серверного компонента ИС, включая виртуальные, должен быть точно указан перечень функционирующих на нем программных компонентов ИС.</w:t>
      </w:r>
      <w:r/>
    </w:p>
    <w:p>
      <w:pPr>
        <w:pStyle w:val="1224"/>
      </w:pPr>
      <w:r>
        <w:t xml:space="preserve">Для каждого компонента КТС ИС должны быть разработаны и включены в состав рабочей документации детальные инструкции по установке и настройке.</w:t>
      </w:r>
      <w:r/>
    </w:p>
    <w:p>
      <w:pPr>
        <w:pStyle w:val="1224"/>
      </w:pPr>
      <w:r>
        <w:t xml:space="preserve">Наименования и технические характеристики компонентов КТС ИС, приведенные в документе «Паспорт ИТ-сервиса», в т.ч</w:t>
      </w:r>
      <w:r>
        <w:t xml:space="preserve">.</w:t>
      </w:r>
      <w:r>
        <w:t xml:space="preserve"> на схеме СРМ, должны в точности соответствовать аналогичным данным, приведенным в остальной рабочей документации ИС.</w:t>
      </w:r>
      <w:r/>
    </w:p>
    <w:p>
      <w:pPr>
        <w:pStyle w:val="1224"/>
      </w:pPr>
      <w:r>
        <w:t xml:space="preserve">Должны быть разработаны или актуализированы механизмы и/или методики автоматической на</w:t>
      </w:r>
      <w:r>
        <w:t xml:space="preserve">стройки/создания информационного наполнения среды тестирования (справочники, документы, процессы и т.д.) с генерацией данных первичного наполнения, количественно и качественно соответствующих данным промышленной среды, а т</w:t>
      </w:r>
      <w:r>
        <w:t xml:space="preserve">акже механизмы и/или методики возврата среды тестирования в исходное состояние, соответствующее состоянию среды до начала тестирования. Инструкции по использованию данных операций должны быть отражены в документе «Руководство по администрированию системы».</w:t>
      </w:r>
      <w:r/>
    </w:p>
    <w:p>
      <w:pPr>
        <w:pStyle w:val="1224"/>
        <w:numPr>
          <w:ilvl w:val="0"/>
          <w:numId w:val="0"/>
        </w:numPr>
      </w:pPr>
      <w:r/>
      <w:r/>
    </w:p>
    <w:p>
      <w:pPr>
        <w:pStyle w:val="1204"/>
        <w:rPr>
          <w:rFonts w:ascii="Times New Roman" w:hAnsi="Times New Roman"/>
        </w:rPr>
      </w:pPr>
      <w:r/>
      <w:bookmarkStart w:id="291" w:name="_Toc449441445"/>
      <w:r/>
      <w:bookmarkStart w:id="292" w:name="_Toc2762789"/>
      <w:r/>
      <w:bookmarkStart w:id="293" w:name="_Toc478556832"/>
      <w:r>
        <w:rPr>
          <w:rFonts w:ascii="Times New Roman" w:hAnsi="Times New Roman"/>
        </w:rPr>
        <w:t xml:space="preserve">Требования к метрологическому обеспечению</w:t>
      </w:r>
      <w:bookmarkEnd w:id="291"/>
      <w:r/>
      <w:bookmarkEnd w:id="292"/>
      <w:r/>
      <w:bookmarkEnd w:id="293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  <w:rPr>
          <w:rStyle w:val="1293"/>
        </w:rPr>
      </w:pPr>
      <w:r>
        <w:rPr>
          <w:rStyle w:val="1293"/>
        </w:rPr>
        <w:t xml:space="preserve">В настоящем разделе приводят: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предварительный перечень измерительных каналов;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точности измерений параметров и (или) к метрологическим характеристикам измерительных каналов;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метрологической совместимости технических средств системы;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перечень управляющих и вычислительных каналов системы, для которых необходимо оценивать точностные характеристики;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требования к метрол</w:t>
      </w:r>
      <w:r>
        <w:rPr>
          <w:rStyle w:val="1293"/>
        </w:rPr>
        <w:t xml:space="preserve">огическому обеспечению технических и программных средств, входящих в состав измерительных каналов системы, средств, встроенного контроля, метрологической пригодности измерительных каналов и средств измерений, используемых при наладке и испытаниях системы;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</w:pPr>
      <w:r>
        <w:rPr>
          <w:rStyle w:val="1293"/>
        </w:rPr>
        <w:t xml:space="preserve">вид метрологической аттестации (государственная или ведомственная) с указанием порядка ее выполнения и организаций, проводящих аттестацию.</w:t>
      </w:r>
      <w:r/>
    </w:p>
    <w:p>
      <w:pPr>
        <w:pStyle w:val="1204"/>
        <w:rPr>
          <w:rFonts w:ascii="Times New Roman" w:hAnsi="Times New Roman"/>
        </w:rPr>
      </w:pPr>
      <w:r/>
      <w:bookmarkStart w:id="294" w:name="_Toc449441446"/>
      <w:r/>
      <w:bookmarkStart w:id="295" w:name="_Toc2762790"/>
      <w:r/>
      <w:bookmarkStart w:id="296" w:name="_Toc478556833"/>
      <w:r>
        <w:rPr>
          <w:rFonts w:ascii="Times New Roman" w:hAnsi="Times New Roman"/>
        </w:rPr>
        <w:t xml:space="preserve">Требования к организационному обеспечению</w:t>
      </w:r>
      <w:bookmarkEnd w:id="294"/>
      <w:r/>
      <w:bookmarkEnd w:id="295"/>
      <w:r/>
      <w:bookmarkEnd w:id="29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В ИС должна быть предусмотрена роль контролера (аудитора).</w:t>
      </w:r>
      <w:r/>
    </w:p>
    <w:p>
      <w:pPr>
        <w:pStyle w:val="1224"/>
      </w:pPr>
      <w:r>
        <w:t xml:space="preserve">Конкретные функциональные требования к ИС, выполнение которых обеспечивает возможность использования ее контролером (аудитором), должны быть явно указаны в ТЗ на создание ИС.</w:t>
      </w:r>
      <w:r/>
    </w:p>
    <w:p>
      <w:pPr>
        <w:pStyle w:val="1224"/>
      </w:pPr>
      <w:r>
        <w:t xml:space="preserve">В качестве возможных функциональных требований к реализации роли контролера (аудитора) могут быть использованы следующие:</w:t>
      </w:r>
      <w:r/>
    </w:p>
    <w:p>
      <w:pPr>
        <w:pStyle w:val="1245"/>
      </w:pPr>
      <w:r>
        <w:t xml:space="preserve">возможность просмотра данных ИС в режиме чтения информации, в том числе с использованием удаленного доступа;</w:t>
      </w:r>
      <w:r/>
    </w:p>
    <w:p>
      <w:pPr>
        <w:pStyle w:val="1245"/>
      </w:pPr>
      <w:r>
        <w:t xml:space="preserve">применение аналитического инструментария;</w:t>
      </w:r>
      <w:r/>
    </w:p>
    <w:p>
      <w:pPr>
        <w:pStyle w:val="1245"/>
      </w:pPr>
      <w:r>
        <w:t xml:space="preserve">осуществление выгрузки сведений в табличной форме и машиночитаемой форме для дальнейшего анализа и обработки;</w:t>
      </w:r>
      <w:r/>
    </w:p>
    <w:p>
      <w:pPr>
        <w:pStyle w:val="1245"/>
      </w:pPr>
      <w:r>
        <w:t xml:space="preserve">осуществление выгрузки сведений в формате, не допускающем изменение таких сведений, а также обеспечивающем подтверждение их соответствия сведениям, которые содержатся в ИС на момент выгрузки.</w:t>
      </w:r>
      <w:r/>
    </w:p>
    <w:p>
      <w:pPr>
        <w:pStyle w:val="1277"/>
        <w:rPr>
          <w:rStyle w:val="1293"/>
        </w:rPr>
      </w:pPr>
      <w:r>
        <w:rPr>
          <w:rStyle w:val="1293"/>
        </w:rPr>
        <w:t xml:space="preserve">В настоящем разделе приводят: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 структуре и функциям подразделений, участвующих в функционировании системы или обеспечивающих эксплуатацию;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 организации функционирования системы и порядку взаимодействия персонала ИС и персонала объекта автоматизации;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к защите от ошибочных действий персонала системы.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297" w:name="_Toc449441447"/>
      <w:r/>
      <w:bookmarkStart w:id="298" w:name="_Toc2762791"/>
      <w:r/>
      <w:bookmarkStart w:id="299" w:name="_Toc478556834"/>
      <w:r>
        <w:rPr>
          <w:rFonts w:ascii="Times New Roman" w:hAnsi="Times New Roman"/>
        </w:rPr>
        <w:t xml:space="preserve">Требования к методическому обеспечению</w:t>
      </w:r>
      <w:bookmarkEnd w:id="297"/>
      <w:r/>
      <w:bookmarkEnd w:id="298"/>
      <w:r/>
      <w:bookmarkEnd w:id="299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77"/>
        <w:rPr>
          <w:rStyle w:val="1293"/>
        </w:rPr>
      </w:pPr>
      <w:r>
        <w:rPr>
          <w:rStyle w:val="1293"/>
        </w:rPr>
        <w:t xml:space="preserve">В настоящем разделе приводят требования к составу нормативно-технической документации системы (перечень применяемых при ее функционировании стандартов, нормативов, методик и т. п.).</w:t>
      </w:r>
      <w:r>
        <w:rPr>
          <w:rStyle w:val="1293"/>
        </w:rPr>
      </w:r>
      <w:r>
        <w:rPr>
          <w:rStyle w:val="1293"/>
        </w:rPr>
      </w:r>
    </w:p>
    <w:p>
      <w:pPr>
        <w:pStyle w:val="1204"/>
        <w:rPr>
          <w:rFonts w:ascii="Times New Roman" w:hAnsi="Times New Roman"/>
        </w:rPr>
      </w:pPr>
      <w:r/>
      <w:bookmarkStart w:id="300" w:name="_Toc449441448"/>
      <w:r/>
      <w:bookmarkStart w:id="301" w:name="_Toc2762792"/>
      <w:r/>
      <w:bookmarkStart w:id="302" w:name="_Toc478556835"/>
      <w:r>
        <w:rPr>
          <w:rFonts w:ascii="Times New Roman" w:hAnsi="Times New Roman"/>
        </w:rPr>
        <w:t xml:space="preserve">Требования к прочим видам обеспечения</w:t>
      </w:r>
      <w:bookmarkEnd w:id="300"/>
      <w:r/>
      <w:bookmarkEnd w:id="301"/>
      <w:r/>
      <w:bookmarkEnd w:id="302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77"/>
        <w:rPr>
          <w:rStyle w:val="1293"/>
        </w:rPr>
      </w:pPr>
      <w:r>
        <w:rPr>
          <w:rStyle w:val="1293"/>
        </w:rPr>
        <w:t xml:space="preserve">В настоящем разделе приводят требования к составу нормативно-технической документации, необходимой при использовании ИС (перечень применяемых при ее функционировании стандартов, нормативов, методик и т. п.).</w:t>
      </w:r>
      <w:r>
        <w:rPr>
          <w:rStyle w:val="1293"/>
        </w:rPr>
      </w:r>
      <w:r>
        <w:rPr>
          <w:rStyle w:val="1293"/>
        </w:rPr>
      </w:r>
    </w:p>
    <w:p>
      <w:pPr>
        <w:pStyle w:val="1203"/>
        <w:rPr>
          <w:rFonts w:ascii="Times New Roman" w:hAnsi="Times New Roman"/>
        </w:rPr>
      </w:pPr>
      <w:r/>
      <w:bookmarkStart w:id="303" w:name="_Ref449435372"/>
      <w:r/>
      <w:bookmarkStart w:id="304" w:name="_Ref449436917"/>
      <w:r/>
      <w:bookmarkStart w:id="305" w:name="_Ref449436954"/>
      <w:r/>
      <w:bookmarkStart w:id="306" w:name="_Toc449441449"/>
      <w:r>
        <w:rPr>
          <w:rFonts w:ascii="Times New Roman" w:hAnsi="Times New Roman"/>
        </w:rPr>
        <w:br w:type="page" w:clear="all"/>
      </w:r>
      <w:bookmarkStart w:id="307" w:name="_Toc2762793"/>
      <w:r/>
      <w:bookmarkStart w:id="308" w:name="_Toc478556836"/>
      <w:r>
        <w:rPr>
          <w:rFonts w:ascii="Times New Roman" w:hAnsi="Times New Roman"/>
        </w:rPr>
        <w:t xml:space="preserve">Состав и содержание работ по созданию (развитию) системы</w:t>
      </w:r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3"/>
      </w:pPr>
      <w:r>
        <w:t xml:space="preserve">Разработка ИС должна </w:t>
      </w:r>
      <w:r>
        <w:t xml:space="preserve">производиться</w:t>
      </w:r>
      <w:r>
        <w:t xml:space="preserve"> в следующей очередности:</w:t>
      </w:r>
      <w:r/>
    </w:p>
    <w:p>
      <w:pPr>
        <w:pStyle w:val="1245"/>
      </w:pPr>
      <w:r>
        <w:t xml:space="preserve">стадия "Разработка документации" (разработка проектных решений по созданию ИС);</w:t>
      </w:r>
      <w:r/>
    </w:p>
    <w:p>
      <w:pPr>
        <w:pStyle w:val="1245"/>
      </w:pPr>
      <w:r>
        <w:t xml:space="preserve">стадия "Разработка рабочей документации";</w:t>
      </w:r>
      <w:r/>
    </w:p>
    <w:p>
      <w:pPr>
        <w:pStyle w:val="1245"/>
      </w:pPr>
      <w:r>
        <w:t xml:space="preserve">стадия "Ввод в действие".</w:t>
      </w:r>
      <w:r/>
    </w:p>
    <w:p>
      <w:pPr>
        <w:pStyle w:val="1223"/>
      </w:pPr>
      <w:r>
        <w:t xml:space="preserve">Состав и содержание работ, проводимых в рамках стадий и очередей приведен в Таблице 1.</w:t>
      </w:r>
      <w:r/>
    </w:p>
    <w:p>
      <w:pPr>
        <w:pStyle w:val="1222"/>
      </w:pPr>
      <w:r/>
      <w:bookmarkStart w:id="309" w:name="_Ref327371238"/>
      <w:r/>
      <w:bookmarkStart w:id="310" w:name="_Toc450827224"/>
      <w:r>
        <w:t xml:space="preserve">Таблица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 xml:space="preserve">1</w:t>
      </w:r>
      <w:r>
        <w:fldChar w:fldCharType="end"/>
      </w:r>
      <w:bookmarkEnd w:id="309"/>
      <w:r>
        <w:t xml:space="preserve">. Стадии и этапы работ по созданию ИС</w:t>
      </w:r>
      <w:bookmarkEnd w:id="310"/>
      <w:r/>
      <w:r/>
    </w:p>
    <w:tbl>
      <w:tblPr>
        <w:tblW w:w="9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17"/>
        <w:gridCol w:w="3827"/>
        <w:gridCol w:w="992"/>
        <w:gridCol w:w="3402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Стадии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Этапы работ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Сроки работ</w:t>
            </w:r>
            <w:r>
              <w:rPr>
                <w:rStyle w:val="1307"/>
                <w:b/>
              </w:rPr>
              <w:footnoteReference w:id="10"/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Предоставляемые материалы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867"/>
        </w:trPr>
        <w:tc>
          <w:tcPr>
            <w:shd w:val="clear" w:color="auto" w:fill="auto"/>
            <w:tcW w:w="1617" w:type="dxa"/>
            <w:vAlign w:val="center"/>
            <w:vMerge w:val="restart"/>
            <w:textDirection w:val="lrTb"/>
            <w:noWrap w:val="false"/>
          </w:tcPr>
          <w:p>
            <w:r>
              <w:t xml:space="preserve">Разработка документации </w:t>
            </w:r>
            <w:r/>
          </w:p>
        </w:tc>
        <w:tc>
          <w:tcPr>
            <w:shd w:val="clear" w:color="auto" w:fill="auto"/>
            <w:tcW w:w="3827" w:type="dxa"/>
            <w:vAlign w:val="center"/>
            <w:textDirection w:val="lrTb"/>
            <w:noWrap w:val="false"/>
          </w:tcPr>
          <w:p>
            <w:r>
              <w:t xml:space="preserve">Разработка проектных решений по созданию ИС в соответствии с требованиями настоящего ТЗ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402" w:type="dxa"/>
            <w:vAlign w:val="center"/>
            <w:vMerge w:val="restart"/>
            <w:textDirection w:val="lrTb"/>
            <w:noWrap w:val="false"/>
          </w:tcPr>
          <w:p>
            <w:r>
              <w:t xml:space="preserve">Комплект технической документации в соответствии с п. </w:t>
            </w:r>
            <w:r>
              <w:fldChar w:fldCharType="begin"/>
            </w:r>
            <w:r>
              <w:instrText xml:space="preserve"> REF _Ref449434488 \r \h  \* MERGEFORMAT </w:instrText>
            </w:r>
            <w:r>
              <w:fldChar w:fldCharType="separate"/>
            </w:r>
            <w:r>
              <w:t xml:space="preserve">10.1.5</w:t>
            </w:r>
            <w:r>
              <w:fldChar w:fldCharType="end"/>
            </w:r>
            <w:r>
              <w:t xml:space="preserve"> настоящего ТЗ</w:t>
            </w:r>
            <w:r/>
          </w:p>
        </w:tc>
      </w:tr>
      <w:tr>
        <w:tblPrEx/>
        <w:trPr/>
        <w:tc>
          <w:tcPr>
            <w:shd w:val="clear" w:color="auto" w:fill="auto"/>
            <w:tcW w:w="16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827" w:type="dxa"/>
            <w:vAlign w:val="center"/>
            <w:textDirection w:val="lrTb"/>
            <w:noWrap w:val="false"/>
          </w:tcPr>
          <w:p>
            <w:r>
              <w:t xml:space="preserve">Согласование и приемка комплекта проектной документации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4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101"/>
        </w:trPr>
        <w:tc>
          <w:tcPr>
            <w:shd w:val="clear" w:color="auto" w:fill="auto"/>
            <w:tcW w:w="1617" w:type="dxa"/>
            <w:vAlign w:val="center"/>
            <w:vMerge w:val="restart"/>
            <w:textDirection w:val="lrTb"/>
            <w:noWrap w:val="false"/>
          </w:tcPr>
          <w:p>
            <w:r>
              <w:t xml:space="preserve">Разработка рабочей</w:t>
            </w:r>
            <w:r/>
          </w:p>
          <w:p>
            <w:r>
              <w:t xml:space="preserve">документации </w:t>
            </w:r>
            <w:r/>
          </w:p>
        </w:tc>
        <w:tc>
          <w:tcPr>
            <w:shd w:val="clear" w:color="auto" w:fill="auto"/>
            <w:tcW w:w="3827" w:type="dxa"/>
            <w:vAlign w:val="center"/>
            <w:textDirection w:val="lrTb"/>
            <w:noWrap w:val="false"/>
          </w:tcPr>
          <w:p>
            <w:r>
              <w:t xml:space="preserve">Разработка рабочей документации ИС в соответствии с требованиями настоящего ТЗ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402" w:type="dxa"/>
            <w:vAlign w:val="center"/>
            <w:vMerge w:val="restart"/>
            <w:textDirection w:val="lrTb"/>
            <w:noWrap w:val="false"/>
          </w:tcPr>
          <w:p>
            <w:r>
              <w:t xml:space="preserve">Комплект рабочей документации в соответствии с п.</w:t>
            </w:r>
            <w:r>
              <w:fldChar w:fldCharType="begin"/>
            </w:r>
            <w:r>
              <w:instrText xml:space="preserve"> REF _Ref449434552 \r \h  \* MERGEFORMAT </w:instrText>
            </w:r>
            <w:r>
              <w:fldChar w:fldCharType="separate"/>
            </w:r>
            <w:r>
              <w:t xml:space="preserve">10.1.8</w:t>
            </w:r>
            <w:r>
              <w:fldChar w:fldCharType="end"/>
            </w:r>
            <w:r>
              <w:t xml:space="preserve"> настоящего ТЗ.</w:t>
            </w:r>
            <w:r/>
          </w:p>
          <w:p>
            <w:r>
              <w:t xml:space="preserve">Программа и методика испытаний.</w:t>
            </w:r>
            <w:r/>
          </w:p>
        </w:tc>
      </w:tr>
      <w:tr>
        <w:tblPrEx/>
        <w:trPr>
          <w:trHeight w:val="787"/>
        </w:trPr>
        <w:tc>
          <w:tcPr>
            <w:shd w:val="clear" w:color="auto" w:fill="auto"/>
            <w:tcW w:w="16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827" w:type="dxa"/>
            <w:vAlign w:val="center"/>
            <w:textDirection w:val="lrTb"/>
            <w:noWrap w:val="false"/>
          </w:tcPr>
          <w:p>
            <w:r>
              <w:t xml:space="preserve">Согласование и приемка комплекта рабочей документации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4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67"/>
        </w:trPr>
        <w:tc>
          <w:tcPr>
            <w:shd w:val="clear" w:color="auto" w:fill="auto"/>
            <w:tcW w:w="1617" w:type="dxa"/>
            <w:vAlign w:val="center"/>
            <w:vMerge w:val="restart"/>
            <w:textDirection w:val="lrTb"/>
            <w:noWrap w:val="false"/>
          </w:tcPr>
          <w:p>
            <w:r>
              <w:t xml:space="preserve">Ввод в</w:t>
            </w:r>
            <w:r/>
          </w:p>
          <w:p>
            <w:r>
              <w:t xml:space="preserve">действие</w:t>
            </w:r>
            <w:r/>
          </w:p>
        </w:tc>
        <w:tc>
          <w:tcPr>
            <w:shd w:val="clear" w:color="auto" w:fill="auto"/>
            <w:tcW w:w="3827" w:type="dxa"/>
            <w:vAlign w:val="center"/>
            <w:textDirection w:val="lrTb"/>
            <w:noWrap w:val="false"/>
          </w:tcPr>
          <w:p>
            <w:r>
              <w:t xml:space="preserve">Закупка и поставка программно-технических средств (при необходимости)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r>
              <w:t xml:space="preserve">Уведомление о готовности к пуско-наладочным работам</w:t>
            </w:r>
            <w:r/>
          </w:p>
        </w:tc>
      </w:tr>
      <w:tr>
        <w:tblPrEx/>
        <w:trPr>
          <w:trHeight w:val="867"/>
        </w:trPr>
        <w:tc>
          <w:tcPr>
            <w:shd w:val="clear" w:color="auto" w:fill="auto"/>
            <w:tcW w:w="16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827" w:type="dxa"/>
            <w:vAlign w:val="center"/>
            <w:textDirection w:val="lrTb"/>
            <w:noWrap w:val="false"/>
          </w:tcPr>
          <w:p>
            <w:r>
              <w:t xml:space="preserve">Проведение пуско-наладочных работ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r>
              <w:t xml:space="preserve">Акт завершения пусконаладочных работ</w:t>
            </w:r>
            <w:r/>
          </w:p>
        </w:tc>
      </w:tr>
      <w:tr>
        <w:tblPrEx/>
        <w:trPr>
          <w:trHeight w:val="591"/>
        </w:trPr>
        <w:tc>
          <w:tcPr>
            <w:shd w:val="clear" w:color="auto" w:fill="auto"/>
            <w:tcW w:w="16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827" w:type="dxa"/>
            <w:vAlign w:val="center"/>
            <w:textDirection w:val="lrTb"/>
            <w:noWrap w:val="false"/>
          </w:tcPr>
          <w:p>
            <w:r>
              <w:t xml:space="preserve">Проведение предварительных испытаний ИС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r>
              <w:t xml:space="preserve">Протокол предварительных испытаний.</w:t>
            </w:r>
            <w:r/>
          </w:p>
          <w:p>
            <w:r>
              <w:t xml:space="preserve">Акт </w:t>
            </w:r>
            <w:r>
              <w:t xml:space="preserve">приемки в ОЭ</w:t>
            </w:r>
            <w:r>
              <w:t xml:space="preserve">.</w:t>
            </w:r>
            <w:r/>
          </w:p>
          <w:p>
            <w:r>
              <w:t xml:space="preserve">Программа опытной эксплуатации.</w:t>
            </w:r>
            <w:r/>
          </w:p>
        </w:tc>
      </w:tr>
      <w:tr>
        <w:tblPrEx/>
        <w:trPr>
          <w:trHeight w:val="849"/>
        </w:trPr>
        <w:tc>
          <w:tcPr>
            <w:shd w:val="clear" w:color="auto" w:fill="auto"/>
            <w:tcW w:w="16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827" w:type="dxa"/>
            <w:vAlign w:val="center"/>
            <w:textDirection w:val="lrTb"/>
            <w:noWrap w:val="false"/>
          </w:tcPr>
          <w:p>
            <w:r>
              <w:t xml:space="preserve">Проведение опытной эксплуатации ИС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r>
              <w:t xml:space="preserve">Журнал опытной эксплуатации.</w:t>
            </w:r>
            <w:r/>
          </w:p>
          <w:p>
            <w:r>
              <w:t xml:space="preserve">Акт завершения опытной эксплуатации.</w:t>
            </w:r>
            <w:r/>
          </w:p>
        </w:tc>
      </w:tr>
      <w:tr>
        <w:tblPrEx/>
        <w:trPr>
          <w:trHeight w:val="1267"/>
        </w:trPr>
        <w:tc>
          <w:tcPr>
            <w:shd w:val="clear" w:color="auto" w:fill="auto"/>
            <w:tcW w:w="16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827" w:type="dxa"/>
            <w:vAlign w:val="center"/>
            <w:textDirection w:val="lrTb"/>
            <w:noWrap w:val="false"/>
          </w:tcPr>
          <w:p>
            <w:r>
              <w:t xml:space="preserve">Проведение приемочных испытаний ИС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r>
              <w:t xml:space="preserve">Протокол приемочных испытаний.</w:t>
            </w:r>
            <w:r/>
          </w:p>
          <w:p>
            <w:r>
              <w:t xml:space="preserve">Акт о приемк</w:t>
            </w:r>
            <w:r>
              <w:t xml:space="preserve">и в эксплуатацию.</w:t>
            </w:r>
            <w:r/>
          </w:p>
          <w:p>
            <w:r>
              <w:t xml:space="preserve">Приказ ФК о вводе ИС в эксплуатацию.</w:t>
            </w:r>
            <w:r/>
          </w:p>
        </w:tc>
      </w:tr>
      <w:tr>
        <w:tblPrEx/>
        <w:trPr>
          <w:trHeight w:val="312"/>
        </w:trPr>
        <w:tc>
          <w:tcPr>
            <w:shd w:val="clear" w:color="auto" w:fill="auto"/>
            <w:tcW w:w="1617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827" w:type="dxa"/>
            <w:vAlign w:val="center"/>
            <w:textDirection w:val="lrTb"/>
            <w:noWrap w:val="false"/>
          </w:tcPr>
          <w:p>
            <w:r>
              <w:t xml:space="preserve">Выполнение мероприятий, указанных в Приказе ФК о вводе ИС в эксплуатацию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r>
              <w:t xml:space="preserve">-</w:t>
            </w:r>
            <w:r/>
          </w:p>
        </w:tc>
      </w:tr>
    </w:tbl>
    <w:p>
      <w:r/>
      <w:bookmarkStart w:id="311" w:name="_Toc449441450"/>
      <w:r/>
      <w:r/>
    </w:p>
    <w:p>
      <w:pPr>
        <w:pStyle w:val="1203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</w:r>
      <w:bookmarkStart w:id="312" w:name="_Toc2762794"/>
      <w:r/>
      <w:bookmarkStart w:id="313" w:name="_Toc478556837"/>
      <w:r>
        <w:rPr>
          <w:rFonts w:ascii="Times New Roman" w:hAnsi="Times New Roman"/>
        </w:rPr>
        <w:t xml:space="preserve">Порядок контроля и приемки системы</w:t>
      </w:r>
      <w:bookmarkEnd w:id="311"/>
      <w:r/>
      <w:bookmarkEnd w:id="312"/>
      <w:r/>
      <w:bookmarkEnd w:id="313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04"/>
        <w:rPr>
          <w:rFonts w:ascii="Times New Roman" w:hAnsi="Times New Roman"/>
        </w:rPr>
      </w:pPr>
      <w:r/>
      <w:bookmarkStart w:id="314" w:name="_Toc2762795"/>
      <w:r/>
      <w:bookmarkStart w:id="315" w:name="_Toc478556838"/>
      <w:r>
        <w:rPr>
          <w:rFonts w:ascii="Times New Roman" w:hAnsi="Times New Roman"/>
        </w:rPr>
        <w:t xml:space="preserve">Общие требования к порядку контроля и приемки ИС</w:t>
      </w:r>
      <w:bookmarkEnd w:id="314"/>
      <w:r/>
      <w:bookmarkEnd w:id="315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Требования к подготовке и последовательности проведения испытаний ИС, программа испытаний и соответствующие методики тестирования, критерии успешности испытаний должны быть отражены в документе «Программа и методика испытаний» (далее - ПМ).</w:t>
      </w:r>
      <w:r/>
    </w:p>
    <w:p>
      <w:pPr>
        <w:pStyle w:val="1224"/>
      </w:pPr>
      <w:r>
        <w:t xml:space="preserve">ПМ должна устанавливать необходимый и достаточный объем испытаний, обеспечивающий заданную достоверность получаемых результатов.</w:t>
      </w:r>
      <w:r/>
    </w:p>
    <w:p>
      <w:pPr>
        <w:pStyle w:val="1224"/>
      </w:pPr>
      <w:r>
        <w:t xml:space="preserve">ПМ должна содержать методики проверки всех требований настоящего ТЗ. </w:t>
      </w:r>
      <w:r/>
    </w:p>
    <w:p>
      <w:pPr>
        <w:pStyle w:val="1224"/>
      </w:pPr>
      <w:r/>
      <w:bookmarkStart w:id="316" w:name="_Ref478129259"/>
      <w:r>
        <w:t xml:space="preserve">ПМ должна включать в себя методики проведения всех видов тестирования ИС, а именно:</w:t>
      </w:r>
      <w:bookmarkEnd w:id="316"/>
      <w:r/>
      <w:r/>
    </w:p>
    <w:p>
      <w:pPr>
        <w:pStyle w:val="1245"/>
      </w:pPr>
      <w:r>
        <w:t xml:space="preserve">функциональные – для проверки выполнения требований ТЗ к функциям ИС, в т.ч</w:t>
      </w:r>
      <w:r>
        <w:t xml:space="preserve">.</w:t>
      </w:r>
      <w:r>
        <w:t xml:space="preserve"> для проверки выполнения требований ТЗ в части интеграции ИС с другими системами, при необходимости с учетом эмуляции последних;</w:t>
      </w:r>
      <w:r/>
    </w:p>
    <w:p>
      <w:pPr>
        <w:pStyle w:val="1245"/>
      </w:pPr>
      <w:r>
        <w:t xml:space="preserve">нефункциональные</w:t>
      </w:r>
      <w:r>
        <w:t xml:space="preserve"> - </w:t>
      </w:r>
      <w:r>
        <w:t xml:space="preserve">для проверки выполнения требований ТЗ </w:t>
      </w:r>
      <w:r>
        <w:t xml:space="preserve">в части используемых технологий</w:t>
      </w:r>
      <w:r>
        <w:t xml:space="preserve">, в т.ч. для проверки выполнения требований ТЗ в части </w:t>
      </w:r>
      <w:r>
        <w:t xml:space="preserve">соответствия стека испытываемой ИС (части ИС), требований горизонтального масштабирования, отказоустойчивости, катастрофоустойчивости (при наличии), требований к мониторингу</w:t>
      </w:r>
      <w:r>
        <w:t xml:space="preserve">;</w:t>
      </w:r>
      <w:r/>
    </w:p>
    <w:p>
      <w:pPr>
        <w:pStyle w:val="1245"/>
      </w:pPr>
      <w:r>
        <w:t xml:space="preserve">интеграционные тестирования – для проверки корректности взаимодействия между программными модулями;</w:t>
      </w:r>
      <w:r/>
    </w:p>
    <w:p>
      <w:pPr>
        <w:pStyle w:val="1245"/>
      </w:pPr>
      <w:r>
        <w:t xml:space="preserve">нагрузочные – для проверки требований ТЗ к показателям назначения ИС;</w:t>
      </w:r>
      <w:r/>
    </w:p>
    <w:p>
      <w:pPr>
        <w:pStyle w:val="1245"/>
      </w:pPr>
      <w:r>
        <w:t xml:space="preserve">регрессионные – для проверки работоспособности текущего функционала ИС, например, при доработке отдельных ее частей или функций.</w:t>
      </w:r>
      <w:r/>
    </w:p>
    <w:p>
      <w:pPr>
        <w:pStyle w:val="1224"/>
      </w:pPr>
      <w:r/>
      <w:bookmarkStart w:id="323" w:name="_Ref450819485"/>
      <w:r>
        <w:t xml:space="preserve">ПМ должна содержать состав технических и программных средств, используемых при испытаниях.</w:t>
      </w:r>
      <w:r/>
    </w:p>
    <w:p>
      <w:pPr>
        <w:pStyle w:val="1224"/>
      </w:pPr>
      <w:r>
        <w:t xml:space="preserve">Должны быть проведены следующие виды (этапы) испытаний ИС:</w:t>
      </w:r>
      <w:bookmarkEnd w:id="323"/>
      <w:r/>
      <w:r/>
    </w:p>
    <w:p>
      <w:pPr>
        <w:pStyle w:val="1245"/>
      </w:pPr>
      <w:r>
        <w:t xml:space="preserve">предварительные испытания; </w:t>
      </w:r>
      <w:r/>
    </w:p>
    <w:p>
      <w:pPr>
        <w:pStyle w:val="1245"/>
      </w:pPr>
      <w:r>
        <w:t xml:space="preserve">опытная эксплуатация; </w:t>
      </w:r>
      <w:r/>
    </w:p>
    <w:p>
      <w:pPr>
        <w:pStyle w:val="1245"/>
      </w:pPr>
      <w:r>
        <w:t xml:space="preserve">приемочные испытания.</w:t>
      </w:r>
      <w:r/>
    </w:p>
    <w:p>
      <w:pPr>
        <w:pStyle w:val="1224"/>
        <w:numPr>
          <w:ilvl w:val="0"/>
          <w:numId w:val="0"/>
        </w:numPr>
      </w:pPr>
      <w:r/>
      <w:r/>
    </w:p>
    <w:p>
      <w:pPr>
        <w:pStyle w:val="1224"/>
      </w:pPr>
      <w:r>
        <w:t xml:space="preserve">ПАК, используемый для проведения предварительных испытаний, должен соответствовать техническим решениям по ПАК, планируемому к использованию на этапе эксплуатации.</w:t>
      </w:r>
      <w:r/>
    </w:p>
    <w:p>
      <w:pPr>
        <w:pStyle w:val="1224"/>
      </w:pPr>
      <w:r>
        <w:t xml:space="preserve">Испытания должны производиться при условии штатного функционирования системы обеспечения </w:t>
      </w:r>
      <w:r>
        <w:t xml:space="preserve">информационной безопасности,</w:t>
      </w:r>
      <w:r>
        <w:t xml:space="preserve"> тестируемой ИС. В частности, на испытаниях должна быть обеспечена демонстрация работы механизмов разграничения доступа пользователей к функциям ИС на различных уровнях, в т.ч</w:t>
      </w:r>
      <w:r>
        <w:t xml:space="preserve">.</w:t>
      </w:r>
      <w:r>
        <w:t xml:space="preserve"> на уровне объектов баз данных и на уровне объектов серверов приложений.</w:t>
      </w:r>
      <w:r/>
    </w:p>
    <w:p>
      <w:pPr>
        <w:pStyle w:val="1224"/>
      </w:pPr>
      <w:r>
        <w:t xml:space="preserve">До начала предварительных испытаний ИС должны быть завершены все пуско-наладочные работы, включая автономную наладку т</w:t>
      </w:r>
      <w:r>
        <w:t xml:space="preserve">ехнических средств и программного обеспечения частей системы, загрузку информации в ее базу данных, комплексную наладку технических средств и программного обеспечения системы. По завершении работ должен быть составлен Акт завершения пуско-наладочных работ.</w:t>
      </w:r>
      <w:r/>
    </w:p>
    <w:p>
      <w:pPr>
        <w:pStyle w:val="1204"/>
        <w:rPr>
          <w:rFonts w:ascii="Times New Roman" w:hAnsi="Times New Roman"/>
        </w:rPr>
      </w:pPr>
      <w:r/>
      <w:bookmarkStart w:id="339" w:name="_Toc2762796"/>
      <w:r/>
      <w:bookmarkStart w:id="340" w:name="_Toc478556839"/>
      <w:r>
        <w:rPr>
          <w:rFonts w:ascii="Times New Roman" w:hAnsi="Times New Roman"/>
        </w:rPr>
        <w:t xml:space="preserve">Предварительные испытания</w:t>
      </w:r>
      <w:bookmarkEnd w:id="339"/>
      <w:r/>
      <w:bookmarkEnd w:id="34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На предварительные испытания должна быть предъявлена следующая документация:</w:t>
      </w:r>
      <w:r/>
    </w:p>
    <w:p>
      <w:pPr>
        <w:pStyle w:val="1245"/>
      </w:pPr>
      <w:r>
        <w:t xml:space="preserve">настоящее ТЗ на создание ИС;</w:t>
      </w:r>
      <w:r/>
    </w:p>
    <w:p>
      <w:pPr>
        <w:pStyle w:val="1245"/>
      </w:pPr>
      <w:r>
        <w:t xml:space="preserve">техническая и рабочая документация на ИС;</w:t>
      </w:r>
      <w:r/>
    </w:p>
    <w:p>
      <w:pPr>
        <w:pStyle w:val="1245"/>
      </w:pPr>
      <w:r>
        <w:t xml:space="preserve">акт завершения пуско-наладочных работ;</w:t>
      </w:r>
      <w:r/>
    </w:p>
    <w:p>
      <w:pPr>
        <w:pStyle w:val="1245"/>
      </w:pPr>
      <w:r>
        <w:t xml:space="preserve">ПМ предварительных испытаний;</w:t>
      </w:r>
      <w:r/>
    </w:p>
    <w:p>
      <w:pPr>
        <w:pStyle w:val="1224"/>
      </w:pPr>
      <w:r>
        <w:t xml:space="preserve">Утвержденные методики тестирования (контрольные примеры) на этапе предварительных испытаний должны обеспечивать:</w:t>
      </w:r>
      <w:r/>
    </w:p>
    <w:p>
      <w:pPr>
        <w:pStyle w:val="1245"/>
      </w:pPr>
      <w:r>
        <w:t xml:space="preserve">полную проверку всех функций ИС;</w:t>
      </w:r>
      <w:r/>
    </w:p>
    <w:p>
      <w:pPr>
        <w:pStyle w:val="1245"/>
      </w:pPr>
      <w:r>
        <w:t xml:space="preserve">проверку основных временных характеристик функционирования программных средств (в тех случаях, когда это является существенным); </w:t>
      </w:r>
      <w:r/>
    </w:p>
    <w:p>
      <w:pPr>
        <w:pStyle w:val="1245"/>
      </w:pPr>
      <w:r>
        <w:t xml:space="preserve">проверку надежности и устойчивости функционирования программных и технических средств. </w:t>
      </w:r>
      <w:r/>
    </w:p>
    <w:p>
      <w:pPr>
        <w:pStyle w:val="1224"/>
      </w:pPr>
      <w:r>
        <w:t xml:space="preserve">В качестве исходной информации для контрольного примера рекомендуется испо</w:t>
      </w:r>
      <w:r>
        <w:t xml:space="preserve">льзовать фрагмент реальной информации Федерального казначейства в объеме, достаточном для обеспечения необходимой достоверности испытаний. Объём информации контрольного примера должен быть достаточным для проверки достижения всех показателей назначения ИС.</w:t>
      </w:r>
      <w:r/>
    </w:p>
    <w:p>
      <w:pPr>
        <w:pStyle w:val="1224"/>
      </w:pPr>
      <w:r>
        <w:t xml:space="preserve">На этапе предвари</w:t>
      </w:r>
      <w:r>
        <w:t xml:space="preserve">т</w:t>
      </w:r>
      <w:r>
        <w:t xml:space="preserve">ельных испытаний должны проводиться функциональные</w:t>
      </w:r>
      <w:r>
        <w:t xml:space="preserve">, интеграционные и регрессионные тестирования.</w:t>
      </w:r>
      <w:r/>
    </w:p>
    <w:p>
      <w:pPr>
        <w:pStyle w:val="1224"/>
      </w:pPr>
      <w:r>
        <w:t xml:space="preserve">Предварительные испытания должны проводиться в соответствии с программой испытаний, которая оформляется в виде таблицы в разделе «Порядок проведения испытаний» ПМ и должна содержать следующую информацию:</w:t>
      </w:r>
      <w:r/>
    </w:p>
    <w:p>
      <w:pPr>
        <w:pStyle w:val="1245"/>
      </w:pPr>
      <w:r>
        <w:t xml:space="preserve">порядковый номер испытания;</w:t>
      </w:r>
      <w:r/>
    </w:p>
    <w:p>
      <w:pPr>
        <w:pStyle w:val="1245"/>
      </w:pPr>
      <w:r>
        <w:t xml:space="preserve">номер проверяемого требования к ИС, указанного в ТЗ;</w:t>
      </w:r>
      <w:r/>
    </w:p>
    <w:p>
      <w:pPr>
        <w:pStyle w:val="1245"/>
      </w:pPr>
      <w:r>
        <w:t xml:space="preserve">номер методики тестирования (контрольного примера, приведенного в Приложении к ПМ) или непосредственное описание проводимого испытания;</w:t>
      </w:r>
      <w:r/>
    </w:p>
    <w:p>
      <w:pPr>
        <w:pStyle w:val="1245"/>
      </w:pPr>
      <w:r>
        <w:t xml:space="preserve">результат испытания (успешно/ неуспешно) - заполняется по завершении испытания;</w:t>
      </w:r>
      <w:r/>
    </w:p>
    <w:p>
      <w:pPr>
        <w:pStyle w:val="1245"/>
      </w:pPr>
      <w:r>
        <w:t xml:space="preserve">комментарии - заполняется по завершении испытания.</w:t>
      </w:r>
      <w:r/>
    </w:p>
    <w:p>
      <w:pPr>
        <w:pStyle w:val="1224"/>
      </w:pPr>
      <w:r>
        <w:t xml:space="preserve">Результаты испы</w:t>
      </w:r>
      <w:r>
        <w:t xml:space="preserve">таний должны быть отражены в Протоколе предварительных испытаний, который, в частности, должен содержать заключение о возможности (невозможности) приемки ИС в опытную эксплуатацию, а также перечень необходимых доработок и рекомендуемые сроки их выполнения.</w:t>
      </w:r>
      <w:r/>
    </w:p>
    <w:p>
      <w:pPr>
        <w:pStyle w:val="1224"/>
      </w:pPr>
      <w:r>
        <w:t xml:space="preserve">В случае допуска ИС к опытной эксплуатации должен быть составлен акт приемки в опытную эксплуатацию.</w:t>
      </w:r>
      <w:r/>
    </w:p>
    <w:p>
      <w:pPr>
        <w:pStyle w:val="1204"/>
        <w:rPr>
          <w:rFonts w:ascii="Times New Roman" w:hAnsi="Times New Roman"/>
        </w:rPr>
      </w:pPr>
      <w:r/>
      <w:bookmarkStart w:id="346" w:name="_Toc2762797"/>
      <w:r/>
      <w:bookmarkStart w:id="347" w:name="_Toc478556840"/>
      <w:r>
        <w:rPr>
          <w:rFonts w:ascii="Times New Roman" w:hAnsi="Times New Roman"/>
        </w:rPr>
        <w:t xml:space="preserve">Опытная эксплуатация</w:t>
      </w:r>
      <w:bookmarkEnd w:id="346"/>
      <w:r/>
      <w:bookmarkEnd w:id="347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К началу опытной эксплуатации должна быть предъявлена следующая документация:</w:t>
      </w:r>
      <w:r/>
    </w:p>
    <w:p>
      <w:pPr>
        <w:pStyle w:val="1245"/>
      </w:pPr>
      <w:r>
        <w:t xml:space="preserve">настоящее ТЗ на создание ИС;</w:t>
      </w:r>
      <w:r/>
    </w:p>
    <w:p>
      <w:pPr>
        <w:pStyle w:val="1245"/>
      </w:pPr>
      <w:r>
        <w:t xml:space="preserve">техническая и рабочая документация на ИС;</w:t>
      </w:r>
      <w:r/>
    </w:p>
    <w:p>
      <w:pPr>
        <w:pStyle w:val="1245"/>
      </w:pPr>
      <w:r>
        <w:t xml:space="preserve">протокол предварительных испытаний;</w:t>
      </w:r>
      <w:r/>
    </w:p>
    <w:p>
      <w:pPr>
        <w:pStyle w:val="1245"/>
      </w:pPr>
      <w:r>
        <w:t xml:space="preserve">акт приемки в опытную эксплуатацию;</w:t>
      </w:r>
      <w:r/>
    </w:p>
    <w:p>
      <w:pPr>
        <w:pStyle w:val="1245"/>
      </w:pPr>
      <w:r>
        <w:t xml:space="preserve">программа опытной эксплуатации;</w:t>
      </w:r>
      <w:r/>
    </w:p>
    <w:p>
      <w:pPr>
        <w:pStyle w:val="1245"/>
      </w:pPr>
      <w:r>
        <w:t xml:space="preserve">рабочий журнал опытной эксплуатации (не заполненный);</w:t>
      </w:r>
      <w:r/>
    </w:p>
    <w:p>
      <w:pPr>
        <w:pStyle w:val="1224"/>
      </w:pPr>
      <w:r>
        <w:t xml:space="preserve">Опытная эксплуатация должна проводиться в соответствии с программой, которая должна содержать следующую информацию:</w:t>
      </w:r>
      <w:r/>
    </w:p>
    <w:p>
      <w:pPr>
        <w:pStyle w:val="1245"/>
      </w:pPr>
      <w:r>
        <w:t xml:space="preserve">объем опытной эксплуатации ИС;</w:t>
      </w:r>
      <w:r/>
    </w:p>
    <w:p>
      <w:pPr>
        <w:pStyle w:val="1245"/>
      </w:pPr>
      <w:r>
        <w:t xml:space="preserve">условия и порядок проведения опытной эксплуатации;</w:t>
      </w:r>
      <w:r/>
    </w:p>
    <w:p>
      <w:pPr>
        <w:pStyle w:val="1245"/>
      </w:pPr>
      <w:r>
        <w:t xml:space="preserve">продолжительность опытной эксплуатации, достаточная для проверки правильности функционирования ИС при выполнении каждой функции и готовности персонала к работе в условиях постоянной эксплуатации ИС;</w:t>
      </w:r>
      <w:r/>
    </w:p>
    <w:p>
      <w:pPr>
        <w:pStyle w:val="1245"/>
      </w:pPr>
      <w:r>
        <w:t xml:space="preserve">используемые методики проверки работоспособности ИС;</w:t>
      </w:r>
      <w:r/>
    </w:p>
    <w:p>
      <w:pPr>
        <w:pStyle w:val="1245"/>
      </w:pPr>
      <w:r>
        <w:t xml:space="preserve">порядок устранения недостатков, выявленных в процессе опытной эксплуатации. </w:t>
      </w:r>
      <w:r/>
    </w:p>
    <w:p>
      <w:pPr>
        <w:pStyle w:val="1224"/>
      </w:pPr>
      <w:r>
        <w:t xml:space="preserve">На этапе опытной эксплуатации (или ранее) должно быть проведено обучение пользователей работе с ИС в соответствии с назначенными им ролями.</w:t>
      </w:r>
      <w:r/>
    </w:p>
    <w:p>
      <w:pPr>
        <w:pStyle w:val="1224"/>
      </w:pPr>
      <w:r>
        <w:t xml:space="preserve">На этапе опытной эксплуатации должны проводиться </w:t>
      </w:r>
      <w:r>
        <w:t xml:space="preserve">функциональные, нефункциональные, интеграционные, </w:t>
      </w:r>
      <w:r>
        <w:t xml:space="preserve">а</w:t>
      </w:r>
      <w:r>
        <w:t xml:space="preserve">втоматизированные регрессионное</w:t>
      </w:r>
      <w:r>
        <w:t xml:space="preserve"> и нагрузочное тестирования (при невозможности согласовать с Заказчиком).</w:t>
      </w:r>
      <w:r/>
    </w:p>
    <w:p>
      <w:pPr>
        <w:pStyle w:val="1224"/>
      </w:pPr>
      <w:r>
        <w:t xml:space="preserve">При проведении автоматизированного нагрузочного и регрессионного тестирования должно использоваться специализированное ПО для автоматизированного тестирования </w:t>
      </w:r>
      <w:r>
        <w:rPr>
          <w:lang w:val="en-US"/>
        </w:rPr>
        <w:t xml:space="preserve">Apache</w:t>
      </w:r>
      <w:r>
        <w:t xml:space="preserve"> </w:t>
      </w:r>
      <w:r>
        <w:rPr>
          <w:lang w:val="en-US"/>
        </w:rPr>
        <w:t xml:space="preserve">JMeter</w:t>
      </w:r>
      <w:r>
        <w:t xml:space="preserve"> или иное ПО, соответствующее требованиям Постановления Правительства Российской Ф</w:t>
      </w:r>
      <w:r>
        <w:t xml:space="preserve">едерации от 16 ноября 2015 года №1236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 и согласованное с Заказчиком. </w:t>
      </w:r>
      <w:r/>
    </w:p>
    <w:p>
      <w:pPr>
        <w:pStyle w:val="1224"/>
      </w:pPr>
      <w:r>
        <w:t xml:space="preserve">Во время опытной эксплуатации должен заполняться рабочий журнал, в который заносят сведения о продолжительности функционирования ИС, отказах, сбоях, аварийных ситуациях, изменениях параметров объекта автоматизации, п</w:t>
      </w:r>
      <w:r>
        <w:t xml:space="preserve">роводимых корректировках документации и программных средств, наладке, технических средств. Сведения должны фиксироваться в журнале с указанием даты и ответственного лица. В журнал должны также быть занесены замечания персонала по удобству эксплуатации ИС. </w:t>
      </w:r>
      <w:r/>
    </w:p>
    <w:p>
      <w:pPr>
        <w:pStyle w:val="1224"/>
      </w:pPr>
      <w:r>
        <w:t xml:space="preserve">В процессе опытной эксплуатации пользователи ИС при выполнении своих функций должны использовать рабочую документацию на ИС. Замечания к форме и содержанию документации должны фиксироваться в рабочем журнале опытной эксплуатации.</w:t>
      </w:r>
      <w:r/>
    </w:p>
    <w:p>
      <w:pPr>
        <w:pStyle w:val="1224"/>
      </w:pPr>
      <w:r>
        <w:t xml:space="preserve">По результатам опытной эксплуатации должен быть составлен акт о завершении опытной эксплуатации, который, в частности, должен содержать заключение о возможности (или невозможности) предъявления ИС на приемочные испытания.</w:t>
      </w:r>
      <w:r/>
    </w:p>
    <w:p>
      <w:pPr>
        <w:pStyle w:val="1204"/>
        <w:rPr>
          <w:rFonts w:ascii="Times New Roman" w:hAnsi="Times New Roman"/>
        </w:rPr>
      </w:pPr>
      <w:r/>
      <w:bookmarkStart w:id="354" w:name="_Toc2762798"/>
      <w:r/>
      <w:bookmarkStart w:id="355" w:name="_Toc478556841"/>
      <w:r>
        <w:rPr>
          <w:rFonts w:ascii="Times New Roman" w:hAnsi="Times New Roman"/>
        </w:rPr>
        <w:t xml:space="preserve">Приемочные испытания</w:t>
      </w:r>
      <w:bookmarkEnd w:id="354"/>
      <w:r/>
      <w:bookmarkEnd w:id="355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На приемочные испытания должна быть предъявлена следующая документация:</w:t>
      </w:r>
      <w:r/>
    </w:p>
    <w:p>
      <w:pPr>
        <w:pStyle w:val="1245"/>
      </w:pPr>
      <w:r>
        <w:t xml:space="preserve">настоящее ТЗ на создание ИС;</w:t>
      </w:r>
      <w:r/>
    </w:p>
    <w:p>
      <w:pPr>
        <w:pStyle w:val="1245"/>
      </w:pPr>
      <w:r>
        <w:t xml:space="preserve">техническая и рабочая документация на ИС;</w:t>
      </w:r>
      <w:r/>
    </w:p>
    <w:p>
      <w:pPr>
        <w:pStyle w:val="1245"/>
      </w:pPr>
      <w:r>
        <w:t xml:space="preserve">акт приемки в опытную эксплуатацию;</w:t>
      </w:r>
      <w:r/>
    </w:p>
    <w:p>
      <w:pPr>
        <w:pStyle w:val="1245"/>
      </w:pPr>
      <w:r>
        <w:t xml:space="preserve">рабочий журнал опытной эксплуатации;</w:t>
      </w:r>
      <w:r/>
    </w:p>
    <w:p>
      <w:pPr>
        <w:pStyle w:val="1245"/>
      </w:pPr>
      <w:r>
        <w:t xml:space="preserve">акт о завершении опытной эксплуатации (и допуске ИС к приемочным испытаниям);</w:t>
      </w:r>
      <w:r/>
    </w:p>
    <w:p>
      <w:pPr>
        <w:pStyle w:val="1245"/>
      </w:pPr>
      <w:r>
        <w:t xml:space="preserve">ПМ приемочных испытаний. </w:t>
      </w:r>
      <w:r/>
    </w:p>
    <w:p>
      <w:pPr>
        <w:pStyle w:val="1224"/>
      </w:pPr>
      <w:r>
        <w:t xml:space="preserve">Приемочные испытания должны проводиться на функционирующем объекте. </w:t>
      </w:r>
      <w:r/>
    </w:p>
    <w:p>
      <w:pPr>
        <w:pStyle w:val="1224"/>
        <w:rPr>
          <w:rFonts w:eastAsia="Arial Unicode MS"/>
        </w:rPr>
      </w:pPr>
      <w:r>
        <w:rPr>
          <w:rFonts w:eastAsia="Arial Unicode MS"/>
        </w:rPr>
        <w:t xml:space="preserve">В ходе </w:t>
      </w:r>
      <w:r>
        <w:rPr>
          <w:rFonts w:eastAsia="Arial Unicode MS"/>
        </w:rPr>
        <w:t xml:space="preserve">приёмочных </w:t>
      </w:r>
      <w:r>
        <w:rPr>
          <w:rFonts w:eastAsia="Arial Unicode MS"/>
        </w:rPr>
        <w:t xml:space="preserve">испытаний должны быть выполнены </w:t>
      </w:r>
      <w:r>
        <w:rPr>
          <w:rFonts w:eastAsia="Arial Unicode MS"/>
        </w:rPr>
        <w:t xml:space="preserve">необходимые виды тестирования, определённые в п. </w:t>
      </w:r>
      <w:r>
        <w:rPr>
          <w:rFonts w:eastAsia="Arial Unicode MS"/>
        </w:rPr>
        <w:fldChar w:fldCharType="begin"/>
      </w:r>
      <w:r>
        <w:rPr>
          <w:rFonts w:eastAsia="Arial Unicode MS"/>
        </w:rPr>
        <w:instrText xml:space="preserve"> REF _Ref451966932 \r \h </w:instrText>
      </w:r>
      <w:r>
        <w:rPr>
          <w:rFonts w:eastAsia="Arial Unicode MS"/>
        </w:rPr>
        <w:fldChar w:fldCharType="separate"/>
      </w:r>
      <w:r>
        <w:rPr>
          <w:rFonts w:eastAsia="Arial Unicode MS"/>
        </w:rPr>
        <w:t xml:space="preserve">8</w:t>
      </w:r>
      <w:r>
        <w:rPr>
          <w:rFonts w:eastAsia="Arial Unicode MS"/>
        </w:rPr>
        <w:t xml:space="preserve">.</w:t>
      </w:r>
      <w:r>
        <w:rPr>
          <w:rFonts w:eastAsia="Arial Unicode MS"/>
        </w:rPr>
        <w:t xml:space="preserve">4</w:t>
      </w:r>
      <w:r>
        <w:rPr>
          <w:rFonts w:eastAsia="Arial Unicode MS"/>
        </w:rPr>
        <w:t xml:space="preserve">.</w:t>
      </w:r>
      <w:r>
        <w:rPr>
          <w:rFonts w:eastAsia="Arial Unicode MS"/>
        </w:rPr>
        <w:fldChar w:fldCharType="end"/>
      </w:r>
      <w:r>
        <w:rPr>
          <w:rFonts w:eastAsia="Arial Unicode MS"/>
        </w:rPr>
        <w:t xml:space="preserve">4</w:t>
      </w:r>
      <w:r>
        <w:rPr>
          <w:rFonts w:eastAsia="Arial Unicode MS"/>
        </w:rPr>
        <w:t xml:space="preserve">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pStyle w:val="1224"/>
      </w:pPr>
      <w:r>
        <w:t xml:space="preserve">По согласованию с Заказчиком на этапе приёмочных испытаний возможно проведения проверок соответствия ИС только тем требованиям ТЗ, по которым были высказаны замечания на этапе предварительных испытаний.</w:t>
      </w:r>
      <w:r/>
    </w:p>
    <w:p>
      <w:pPr>
        <w:pStyle w:val="1224"/>
      </w:pPr>
      <w:r>
        <w:t xml:space="preserve">Этап приемочных испытаний должен включать:</w:t>
      </w:r>
      <w:r/>
    </w:p>
    <w:p>
      <w:pPr>
        <w:pStyle w:val="1245"/>
      </w:pPr>
      <w:r>
        <w:t xml:space="preserve">испытания ИС на соответствие требованиям настоящего ТЗ в соответствии с программой и методикой приемочных испытаний;</w:t>
      </w:r>
      <w:r/>
    </w:p>
    <w:p>
      <w:pPr>
        <w:pStyle w:val="1245"/>
        <w:rPr>
          <w:rStyle w:val="1305"/>
        </w:rPr>
      </w:pPr>
      <w:r>
        <w:t xml:space="preserve">анализ результатов устранения недостатков, указанных в акте о завершении опытной эксплуатации</w:t>
      </w:r>
      <w:r>
        <w:rPr>
          <w:rStyle w:val="1305"/>
        </w:rPr>
      </w:r>
      <w:r>
        <w:rPr>
          <w:rStyle w:val="1305"/>
        </w:rPr>
      </w:r>
    </w:p>
    <w:p>
      <w:pPr>
        <w:pStyle w:val="1245"/>
      </w:pPr>
      <w:r>
        <w:t xml:space="preserve">оформление акта о приемке системы в эксплуатацию.</w:t>
      </w:r>
      <w:r/>
    </w:p>
    <w:p>
      <w:pPr>
        <w:pStyle w:val="1224"/>
      </w:pPr>
      <w:r>
        <w:t xml:space="preserve">Результаты приемочных испытаний должны быть отражены в Протоколе приемочных испытаний, который, в частности, должен содержать заключение о соответствии (или несоответствии) ИС требованиям ТЗ и возможности приемки ИС в эксплуатацию. </w:t>
      </w:r>
      <w:r/>
    </w:p>
    <w:p>
      <w:pPr>
        <w:pStyle w:val="1224"/>
      </w:pPr>
      <w:r>
        <w:t xml:space="preserve">Испытания ИС должны завершаться оформлением акта о приемке ИС в эксплуатацию.</w:t>
      </w:r>
      <w:r/>
    </w:p>
    <w:p>
      <w:pPr>
        <w:pStyle w:val="1203"/>
        <w:rPr>
          <w:rFonts w:ascii="Times New Roman" w:hAnsi="Times New Roman"/>
        </w:rPr>
      </w:pPr>
      <w:r/>
      <w:bookmarkStart w:id="361" w:name="_Toc449441451"/>
      <w:r/>
      <w:bookmarkStart w:id="362" w:name="_Toc2762799"/>
      <w:r/>
      <w:bookmarkStart w:id="363" w:name="_Toc478556842"/>
      <w:r>
        <w:rPr>
          <w:rFonts w:ascii="Times New Roman" w:hAnsi="Times New Roman"/>
        </w:rPr>
        <w:t xml:space="preserve">Требования к составу и содержанию работ по подготовке объекта автоматизации к вводу системы в действие</w:t>
      </w:r>
      <w:bookmarkEnd w:id="361"/>
      <w:r/>
      <w:bookmarkEnd w:id="362"/>
      <w:r/>
      <w:bookmarkEnd w:id="363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3"/>
      </w:pPr>
      <w:r>
        <w:t xml:space="preserve">Для обеспечения функционирования ИС обслуживающий персонал должен быть подготовлен к выполнению положений рабочей документации ИС, а также требований общих документов по эксплуатации информационных систем Федерального казначейства.</w:t>
      </w:r>
      <w:r/>
    </w:p>
    <w:p>
      <w:pPr>
        <w:pStyle w:val="1223"/>
      </w:pPr>
      <w:r>
        <w:t xml:space="preserve">Кроме того, в период подготовки объекта автоматизации к вводу в действие ИС должны быть проведены следующие работы:</w:t>
      </w:r>
      <w:r/>
    </w:p>
    <w:p>
      <w:pPr>
        <w:pStyle w:val="1273"/>
      </w:pPr>
      <w:r>
        <w:t xml:space="preserve">1) осуществлена подготовка помещений для развертывания ПАК и рабочих станций ИС, а также др</w:t>
      </w:r>
      <w:r>
        <w:t xml:space="preserve">угих технических средств (производится в соответствии с требованиями, разработанными в ходе проектирования ИТ-инфраструктуры ИС на объектах автоматизации). Помещения и их отделка должны соответствовать требованиям СанПиН 2.2.2./2.4.1340-03 от 03.06.2003 г.</w:t>
      </w:r>
      <w:r/>
    </w:p>
    <w:p>
      <w:pPr>
        <w:pStyle w:val="1273"/>
      </w:pPr>
      <w:r>
        <w:t xml:space="preserve">2) проведено распределение вычислительных ресурсов в соответствии с требованиями ПО, используемого в составе ИС, а также планирование размещения рабочих станций перс</w:t>
      </w:r>
      <w:r>
        <w:t xml:space="preserve">онала ИС. Размещение серверного оборудования и автоматизированных рабочих мест должно быть выполнены с учетом требований ГОСТ 21958-76 «Система «Человек-машина». Зал и кабины операторов. Взаимное расположение рабочих мест. Общие эргономические требования».</w:t>
      </w:r>
      <w:r/>
    </w:p>
    <w:p>
      <w:pPr>
        <w:pStyle w:val="1273"/>
      </w:pPr>
      <w:r>
        <w:t xml:space="preserve">3) проведена (при необходимости) модернизация ЛВС для подключения нового серв</w:t>
      </w:r>
      <w:r>
        <w:t xml:space="preserve">ерного оборудования и рабочих станций ИС, а также для доступа программно-технических средств мониторинга и управления к объектам мониторинга из состава ИС. Работы должны проводиться в соответствии с решениями, зафиксированными в рабочей документации на ИС.</w:t>
      </w:r>
      <w:r/>
    </w:p>
    <w:p>
      <w:pPr>
        <w:pStyle w:val="1273"/>
      </w:pPr>
      <w:r>
        <w:t xml:space="preserve">4) осуществле</w:t>
      </w:r>
      <w:r>
        <w:t xml:space="preserve">но обучение персонала ИС, деятельность которого автоматизируется, а также произведено обучение администраторов программно-технических средств ИС. Обучение ИТ-персонала проводится в соответствии с требованиями, зафиксированными в рабочей документации на ИС.</w:t>
      </w:r>
      <w:r/>
    </w:p>
    <w:p>
      <w:pPr>
        <w:pStyle w:val="1223"/>
      </w:pPr>
      <w:r>
        <w:t xml:space="preserve">В документе «Пояснительная записка к техническому проекту» в разделе «Мероприятия по подготовке объекта автоматизации к вводу системы в действие» должен быть приведен полный список требований к подготовке ИТ-инфра</w:t>
      </w:r>
      <w:r>
        <w:t xml:space="preserve">структуры Федерального казначейства и эксплуатационного персонала на каждом объекте, где внедряется ИС, с указанием ответственных за выполнение соответствующих мероприятий. Указанные мероприятия должны быть выполнены до начала предварительных испытаний ИС.</w:t>
      </w:r>
      <w:r/>
    </w:p>
    <w:p>
      <w:pPr>
        <w:pStyle w:val="1223"/>
      </w:pPr>
      <w:r>
        <w:t xml:space="preserve">Последовательность и содержание пуско-наладочных работ должны строго соответствовать содержанию документа «Руководство по пуско-наладке системы». </w:t>
      </w:r>
      <w:r/>
    </w:p>
    <w:p>
      <w:pPr>
        <w:pStyle w:val="1223"/>
      </w:pPr>
      <w:r>
        <w:t xml:space="preserve">Установка программных компонентов ИС должна производиться с носителей информации, официально переданных в Федеральное казначейство.</w:t>
      </w:r>
      <w:r/>
    </w:p>
    <w:p>
      <w:pPr>
        <w:pStyle w:val="1223"/>
      </w:pPr>
      <w:r>
        <w:t xml:space="preserve">Пуско-наладочные работы должны проводиться под наблюдением системного администратора, уполномоченного Федеральным казначейством.</w:t>
      </w:r>
      <w:r/>
    </w:p>
    <w:p>
      <w:pPr>
        <w:pStyle w:val="1224"/>
      </w:pPr>
      <w:r>
        <w:t xml:space="preserve">Об успешном завершении пуско-наладочных работ и готовности к проведению предварительных испытаний должно быть сообщено в Федеральное казначейство официальным письмом с приложением Акта завершения пуско-наладочных работ.</w:t>
      </w:r>
      <w:r/>
    </w:p>
    <w:p>
      <w:pPr>
        <w:pStyle w:val="1266"/>
        <w:rPr>
          <w:rStyle w:val="1293"/>
        </w:rPr>
      </w:pPr>
      <w:r>
        <w:rPr>
          <w:rStyle w:val="1293"/>
        </w:rPr>
        <w:t xml:space="preserve">В разделе также могут приводиться дополнительные мероприятия, которые следует выполнить при подготовке объекта автоматизации к вводу ИС в действие, в частности: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мероприятия по приведению поступающей в систему информации (в соответствии с требованиями к информационному и лингвистическому обеспечению) к виду, пригодному для обработки с помощью ИС;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изменения, которые необходимо осуществить на объекте автоматизации;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создание условий функционирования объекта автоматизации, при которых гарантируется соответствие создаваемой системы требованиям, содержащимся в ТЗ;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создание необходимых для функционирования системы подразделений и служб;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сроки и порядок комплектования штатов и обучения персонала. </w:t>
      </w:r>
      <w:r>
        <w:rPr>
          <w:rStyle w:val="1293"/>
        </w:rPr>
      </w:r>
      <w:r>
        <w:rPr>
          <w:rStyle w:val="1293"/>
        </w:rPr>
      </w:r>
    </w:p>
    <w:p>
      <w:pPr>
        <w:pStyle w:val="1203"/>
        <w:rPr>
          <w:rFonts w:ascii="Times New Roman" w:hAnsi="Times New Roman"/>
        </w:rPr>
      </w:pPr>
      <w:r/>
      <w:bookmarkStart w:id="364" w:name="_Toc449441452"/>
      <w:r>
        <w:rPr>
          <w:rFonts w:ascii="Times New Roman" w:hAnsi="Times New Roman"/>
        </w:rPr>
        <w:br w:type="page" w:clear="all"/>
      </w:r>
      <w:bookmarkStart w:id="365" w:name="_Toc2762800"/>
      <w:r/>
      <w:bookmarkStart w:id="366" w:name="_Toc478556843"/>
      <w:r>
        <w:rPr>
          <w:rFonts w:ascii="Times New Roman" w:hAnsi="Times New Roman"/>
        </w:rPr>
        <w:t xml:space="preserve">Требования к документированию</w:t>
      </w:r>
      <w:bookmarkEnd w:id="364"/>
      <w:r/>
      <w:bookmarkEnd w:id="365"/>
      <w:r/>
      <w:bookmarkEnd w:id="36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04"/>
        <w:rPr>
          <w:rFonts w:ascii="Times New Roman" w:hAnsi="Times New Roman"/>
        </w:rPr>
      </w:pPr>
      <w:r/>
      <w:bookmarkStart w:id="367" w:name="_Toc449441453"/>
      <w:r/>
      <w:bookmarkStart w:id="368" w:name="_Toc2762801"/>
      <w:r/>
      <w:bookmarkStart w:id="369" w:name="_Toc478556844"/>
      <w:r>
        <w:rPr>
          <w:rFonts w:ascii="Times New Roman" w:hAnsi="Times New Roman"/>
        </w:rPr>
        <w:t xml:space="preserve">Общие требования к документированию</w:t>
      </w:r>
      <w:bookmarkEnd w:id="367"/>
      <w:r/>
      <w:bookmarkEnd w:id="368"/>
      <w:r/>
      <w:bookmarkEnd w:id="369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Виды и комплектность проектных и рабочих документов, разрабатываемых на всех стадиях создания ИС, должны соответствовать требованиям настоящего ТЗ.</w:t>
      </w:r>
      <w:r/>
    </w:p>
    <w:p>
      <w:pPr>
        <w:pStyle w:val="1224"/>
      </w:pPr>
      <w:r>
        <w:t xml:space="preserve">Состав и содержание документации на ИС должны соответствовать требованиям, перечисленным в актуальной версии документа «Тр</w:t>
      </w:r>
      <w:r>
        <w:t xml:space="preserve">ебования к документации, составу программных продуктов и автоматизированных систем, сдаваемых в Фонд алгоритмов и программ Федерального казначейства», утвержденного заместителем руководителя Федерального казначейства и размещенного на официальном сайте ФК </w:t>
      </w:r>
      <w:hyperlink r:id="rId22" w:tooltip="http://www.roskazna.ru" w:history="1">
        <w:r>
          <w:t xml:space="preserve">www.roskazna.ru</w:t>
        </w:r>
      </w:hyperlink>
      <w:r>
        <w:t xml:space="preserve">.</w:t>
      </w:r>
      <w:r/>
    </w:p>
    <w:p>
      <w:pPr>
        <w:pStyle w:val="1224"/>
      </w:pPr>
      <w:r>
        <w:t xml:space="preserve">Документация на ИС должна быть разработана с учетом требований:</w:t>
      </w:r>
      <w:r/>
    </w:p>
    <w:p>
      <w:pPr>
        <w:pStyle w:val="1245"/>
      </w:pPr>
      <w:r>
        <w:t xml:space="preserve">ГОСТ 34.201-89 «Виды, комплектность и обозначение документов при создании автоматизированных систем».</w:t>
      </w:r>
      <w:r/>
    </w:p>
    <w:p>
      <w:pPr>
        <w:pStyle w:val="1224"/>
      </w:pPr>
      <w:r>
        <w:t xml:space="preserve">Разработка документации на ИС должна проводиться в два этапа:</w:t>
      </w:r>
      <w:r/>
    </w:p>
    <w:p>
      <w:pPr>
        <w:pStyle w:val="1245"/>
      </w:pPr>
      <w:r>
        <w:t xml:space="preserve">этап «разработка документации» включает разработку и утверждение документации в объеме, необходимом для описания полной совокупности проектных решений и достаточном для дальнейшего выполнения работ по созданию ИС;</w:t>
      </w:r>
      <w:r/>
    </w:p>
    <w:p>
      <w:pPr>
        <w:pStyle w:val="1245"/>
      </w:pPr>
      <w:r>
        <w:t xml:space="preserve">этап «разработка рабочей документации» включает разработку и утверждение документации, содержащей сведения, необходи</w:t>
      </w:r>
      <w:r>
        <w:t xml:space="preserve">мые для выполнения работ по вводу ИС в эксплуатацию и ее эксплуатации, и порядка эксплуатации ИС, содержащего сведения, необходимые для выполнения работ по поддержанию уровня эксплуатационных характеристик (качества) ИС, установленных в проектных решениях.</w:t>
      </w:r>
      <w:r/>
    </w:p>
    <w:p>
      <w:pPr>
        <w:pStyle w:val="1224"/>
      </w:pPr>
      <w:r/>
      <w:bookmarkStart w:id="370" w:name="_Ref449434488"/>
      <w:r>
        <w:t xml:space="preserve">На этапе «разработка документации» должен создаваться следующий минимальный комплект документов</w:t>
      </w:r>
      <w:r>
        <w:rPr>
          <w:rStyle w:val="1252"/>
        </w:rPr>
        <w:footnoteReference w:id="11"/>
      </w:r>
      <w:r>
        <w:t xml:space="preserve">:</w:t>
      </w:r>
      <w:bookmarkEnd w:id="370"/>
      <w:r/>
      <w:r/>
    </w:p>
    <w:p>
      <w:pPr>
        <w:pStyle w:val="1224"/>
        <w:numPr>
          <w:ilvl w:val="0"/>
          <w:numId w:val="0"/>
        </w:numPr>
      </w:pPr>
      <w:r/>
      <w:r/>
    </w:p>
    <w:p>
      <w:pPr>
        <w:pStyle w:val="1222"/>
      </w:pPr>
      <w:r/>
      <w:bookmarkStart w:id="371" w:name="_Toc450827225"/>
      <w:r>
        <w:t xml:space="preserve">Таблица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 xml:space="preserve">2</w:t>
      </w:r>
      <w:r>
        <w:fldChar w:fldCharType="end"/>
      </w:r>
      <w:r>
        <w:t xml:space="preserve">. Перечень технической документации</w:t>
      </w:r>
      <w:bookmarkEnd w:id="371"/>
      <w:r/>
      <w:r/>
    </w:p>
    <w:tbl>
      <w:tblPr>
        <w:tblW w:w="97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5160"/>
        <w:gridCol w:w="1276"/>
        <w:gridCol w:w="3288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0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Код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Примечания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t xml:space="preserve">Ведомость технического проекта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ТП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t xml:space="preserve">Пояснительная записка к техническому проекту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П2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t xml:space="preserve">Описание автоматизируемых функций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П3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>
              <w:t xml:space="preserve">Информация может включаться в документ П2 в виде отдельного раздела</w:t>
            </w:r>
            <w:r/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t xml:space="preserve">Описание постановки задачи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П4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>
              <w:t xml:space="preserve">Информация может включаться в документ П2 в виде отдельного раздела</w:t>
            </w:r>
            <w:r/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t xml:space="preserve">Описание информационного обеспечения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П5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t xml:space="preserve">Описание организации информационной базы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П6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>
              <w:t xml:space="preserve">Информация может включаться в документ П5 в виде отдельного раздела</w:t>
            </w:r>
            <w:r/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t xml:space="preserve">Описание комплекса технических средств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П9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t xml:space="preserve">Схема структурная комплекса технических средств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С1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>
              <w:t xml:space="preserve">Информация может включаться в документ П9 в виде отдельного раздела</w:t>
            </w:r>
            <w:r/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t xml:space="preserve">Описание программного обеспечения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ПА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t xml:space="preserve">Проектная оценка надёжности системы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Б1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>
              <w:t xml:space="preserve">Информация может включаться в документ П2 в виде отдельного раздела</w:t>
            </w:r>
            <w:r/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t xml:space="preserve">Спецификация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В4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vAlign w:val="center"/>
            <w:textDirection w:val="lrTb"/>
            <w:noWrap w:val="false"/>
          </w:tcPr>
          <w:p>
            <w:r>
              <w:rPr>
                <w:color w:val="ff0000"/>
              </w:rPr>
              <w:t xml:space="preserve">Системная архитектура</w:t>
            </w:r>
            <w:r/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r>
              <w:t xml:space="preserve">СА</w:t>
            </w:r>
            <w:r/>
          </w:p>
        </w:tc>
        <w:tc>
          <w:tcPr>
            <w:shd w:val="clear" w:color="auto" w:fill="auto"/>
            <w:tcW w:w="3288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224"/>
      </w:pPr>
      <w:r>
        <w:t xml:space="preserve">Комплект документов, разработанный на этапе «разработка документации», должен предоставляется для утверждения в соответствии с графиком проведения работ, содержащимся в разделе </w:t>
      </w:r>
      <w:r>
        <w:fldChar w:fldCharType="begin"/>
      </w:r>
      <w:r>
        <w:instrText xml:space="preserve"> REF _Ref449436954 \r \h  \* MERGEFORMAT </w:instrText>
      </w:r>
      <w:r>
        <w:fldChar w:fldCharType="separate"/>
      </w:r>
      <w:r>
        <w:t xml:space="preserve">7</w:t>
      </w:r>
      <w:r>
        <w:fldChar w:fldCharType="end"/>
      </w:r>
      <w:r>
        <w:t xml:space="preserve"> настоящего ТЗ.</w:t>
      </w:r>
      <w:r/>
    </w:p>
    <w:p>
      <w:pPr>
        <w:pStyle w:val="1224"/>
      </w:pPr>
      <w:r>
        <w:t xml:space="preserve">Переход к этапу «разработка рабочей документации» должен осуществляться только после утверждения Федеральным казначейством комплекта документации, указанного в п.</w:t>
      </w:r>
      <w:r>
        <w:fldChar w:fldCharType="begin"/>
      </w:r>
      <w:r>
        <w:instrText xml:space="preserve"> REF _Ref449434488 \r \h  \* MERGEFORMAT </w:instrText>
      </w:r>
      <w:r>
        <w:fldChar w:fldCharType="separate"/>
      </w:r>
      <w:r>
        <w:t xml:space="preserve">10.1.5</w:t>
      </w:r>
      <w:r>
        <w:fldChar w:fldCharType="end"/>
      </w:r>
      <w:r>
        <w:t xml:space="preserve"> настоящего ТЗ.</w:t>
      </w:r>
      <w:r/>
    </w:p>
    <w:p>
      <w:pPr>
        <w:pStyle w:val="1224"/>
      </w:pPr>
      <w:r/>
      <w:bookmarkStart w:id="379" w:name="_Ref449434552"/>
      <w:r>
        <w:t xml:space="preserve">На этапе «разработка рабочей документации» должен создаваться следующий минимальный комплект документов</w:t>
      </w:r>
      <w:r>
        <w:rPr>
          <w:rStyle w:val="1252"/>
        </w:rPr>
        <w:footnoteReference w:id="12"/>
      </w:r>
      <w:r>
        <w:t xml:space="preserve">:</w:t>
      </w:r>
      <w:bookmarkEnd w:id="379"/>
      <w:r/>
      <w:r/>
    </w:p>
    <w:p>
      <w:pPr>
        <w:pStyle w:val="1222"/>
      </w:pPr>
      <w:r/>
      <w:bookmarkStart w:id="380" w:name="_Toc450827226"/>
      <w:r>
        <w:t xml:space="preserve">Таблица </w:t>
      </w:r>
      <w:r>
        <w:fldChar w:fldCharType="begin"/>
      </w:r>
      <w:r>
        <w:instrText xml:space="preserve"> SEQ Табл. \* ARABIC </w:instrText>
      </w:r>
      <w:r>
        <w:fldChar w:fldCharType="separate"/>
      </w:r>
      <w:r>
        <w:t xml:space="preserve">3</w:t>
      </w:r>
      <w:r>
        <w:fldChar w:fldCharType="end"/>
      </w:r>
      <w:r>
        <w:t xml:space="preserve">. Перечень рабочей документации</w:t>
      </w:r>
      <w:bookmarkEnd w:id="380"/>
      <w:r/>
      <w:r/>
    </w:p>
    <w:tbl>
      <w:tblPr>
        <w:tblW w:w="97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38"/>
        <w:gridCol w:w="1389"/>
        <w:gridCol w:w="3997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3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Код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9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Примечания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Ведомость эксплуатационных документов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ЭД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Общее описание системы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ПД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Паспорт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ПС1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Паспорт ИТ-сервиса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ПС2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Руководство по администрированию системы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ИА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Руководство по пуско-наладке системы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ИМ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Инструкция по эксплуатации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ИЭ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Руководство пользователя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И3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Технологический регламент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ИТ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Программа и методика испытаний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ПМ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>
              <w:t xml:space="preserve">Должна включать в себя программы и методики нагрузочного, регрессионного и интеграционного тестирования</w:t>
            </w:r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Программа опытной эксплуатации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ПО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Таблица соединений и подключений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С6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>
              <w:t xml:space="preserve">Информация может включаться в документ ИМ в виде отдельного раздела или приложения</w:t>
            </w:r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План расположения оборудования и проводок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С7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>
              <w:t xml:space="preserve">Информация может включаться в документ ИМ в виде отдельного раздела или приложения</w:t>
            </w:r>
            <w:r/>
          </w:p>
        </w:tc>
      </w:tr>
      <w:tr>
        <w:tblPrEx/>
        <w:trPr/>
        <w:tc>
          <w:tcPr>
            <w:shd w:val="clear" w:color="auto" w:fill="auto"/>
            <w:tcW w:w="4338" w:type="dxa"/>
            <w:vAlign w:val="center"/>
            <w:textDirection w:val="lrTb"/>
            <w:noWrap w:val="false"/>
          </w:tcPr>
          <w:p>
            <w:r>
              <w:t xml:space="preserve">Порядок эксплуатации и технического обслуживания (ПЭиТО)</w:t>
            </w:r>
            <w:r/>
          </w:p>
        </w:tc>
        <w:tc>
          <w:tcPr>
            <w:shd w:val="clear" w:color="auto" w:fill="auto"/>
            <w:tcW w:w="1389" w:type="dxa"/>
            <w:vAlign w:val="center"/>
            <w:textDirection w:val="lrTb"/>
            <w:noWrap w:val="false"/>
          </w:tcPr>
          <w:p>
            <w:r>
              <w:t xml:space="preserve">ПТ</w:t>
            </w:r>
            <w:r/>
          </w:p>
        </w:tc>
        <w:tc>
          <w:tcPr>
            <w:shd w:val="clear" w:color="auto" w:fill="auto"/>
            <w:tcW w:w="3997" w:type="dxa"/>
            <w:vAlign w:val="center"/>
            <w:textDirection w:val="lrTb"/>
            <w:noWrap w:val="false"/>
          </w:tcPr>
          <w:p>
            <w:r>
              <w:t xml:space="preserve">Возможна разработка документа на этапе эксплуатации ИС</w:t>
            </w:r>
            <w:r/>
          </w:p>
        </w:tc>
      </w:tr>
    </w:tbl>
    <w:p>
      <w:pPr>
        <w:pStyle w:val="1224"/>
      </w:pPr>
      <w:r>
        <w:t xml:space="preserve">Комплект документов, разработанный на этапе «разработка рабочей документации», должен предоставляться для утверждения в соответствии с графиком проведения работ, содержащимся в разделе </w:t>
      </w:r>
      <w:r>
        <w:fldChar w:fldCharType="begin"/>
      </w:r>
      <w:r>
        <w:instrText xml:space="preserve"> REF _Ref449436917 \r \h  \* MERGEFORMAT </w:instrText>
      </w:r>
      <w:r>
        <w:fldChar w:fldCharType="separate"/>
      </w:r>
      <w:r>
        <w:t xml:space="preserve">7</w:t>
      </w:r>
      <w:r>
        <w:fldChar w:fldCharType="end"/>
      </w:r>
      <w:r>
        <w:t xml:space="preserve"> настоящего ТЗ, обязательно до начала пуско-наладочных работ.</w:t>
      </w:r>
      <w:r/>
    </w:p>
    <w:p>
      <w:pPr>
        <w:pStyle w:val="1224"/>
      </w:pPr>
      <w:r>
        <w:t xml:space="preserve">Полный комплект документации на ИС, соответствующий ТЗ, должен быть утвержден Федеральным казначейством до начала пуско-наладочных работ.</w:t>
      </w:r>
      <w:r/>
    </w:p>
    <w:p>
      <w:pPr>
        <w:pStyle w:val="1224"/>
        <w:rPr>
          <w:rStyle w:val="1292"/>
          <w:b w:val="0"/>
        </w:rPr>
      </w:pPr>
      <w:r>
        <w:t xml:space="preserve">Комплекты документов, подготовленные на стадиях "Разработка документации" и "Разработка рабочей документации", должны предоставляться в </w:t>
      </w:r>
      <w:r>
        <w:t xml:space="preserve">3</w:t>
      </w:r>
      <w:r>
        <w:t xml:space="preserve">-х экземплярах: 2 копии документов на бумажном носителе и одна электронная копия - </w:t>
      </w:r>
      <w:r>
        <w:rPr>
          <w:rStyle w:val="1292"/>
          <w:b w:val="0"/>
        </w:rPr>
        <w:t xml:space="preserve">на диске CD или DVD.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24"/>
        <w:rPr>
          <w:rStyle w:val="1292"/>
          <w:b w:val="0"/>
        </w:rPr>
      </w:pPr>
      <w:r>
        <w:rPr>
          <w:rStyle w:val="1292"/>
          <w:b w:val="0"/>
        </w:rPr>
        <w:t xml:space="preserve">Вся разрабатываемая проектная документация должна быть выполнена на русском языке, в формате MS Word </w:t>
      </w:r>
      <w:r>
        <w:rPr>
          <w:rStyle w:val="1292"/>
          <w:b w:val="0"/>
        </w:rPr>
        <w:t xml:space="preserve">версии не ниже </w:t>
      </w:r>
      <w:r>
        <w:rPr>
          <w:rStyle w:val="1292"/>
          <w:b w:val="0"/>
        </w:rPr>
        <w:t xml:space="preserve">2010 c оформлением иллюстраций в редакторе MS Visio </w:t>
      </w:r>
      <w:r>
        <w:rPr>
          <w:rStyle w:val="1292"/>
          <w:b w:val="0"/>
        </w:rPr>
        <w:t xml:space="preserve">версии не ниже </w:t>
      </w:r>
      <w:r>
        <w:rPr>
          <w:rStyle w:val="1292"/>
          <w:b w:val="0"/>
        </w:rPr>
        <w:t xml:space="preserve">2010</w:t>
      </w:r>
      <w:r>
        <w:rPr>
          <w:rStyle w:val="1292"/>
          <w:b w:val="0"/>
        </w:rPr>
        <w:t xml:space="preserve"> или в совместимых форматах</w:t>
      </w:r>
      <w:r>
        <w:rPr>
          <w:rStyle w:val="1292"/>
          <w:b w:val="0"/>
        </w:rPr>
        <w:t xml:space="preserve">.</w:t>
      </w:r>
      <w:r>
        <w:rPr>
          <w:rStyle w:val="1292"/>
          <w:b w:val="0"/>
        </w:rPr>
      </w:r>
      <w:r>
        <w:rPr>
          <w:rStyle w:val="1292"/>
          <w:b w:val="0"/>
        </w:rPr>
      </w:r>
    </w:p>
    <w:p>
      <w:pPr>
        <w:pStyle w:val="1224"/>
      </w:pPr>
      <w:r>
        <w:t xml:space="preserve">Приемка результатов работ по созданию ИС производится по завершению очередей и стадий проекта, приведенных в п. 5 настоящего ТЗ.</w:t>
      </w:r>
      <w:r/>
    </w:p>
    <w:p>
      <w:pPr>
        <w:pStyle w:val="1224"/>
      </w:pPr>
      <w:r>
        <w:t xml:space="preserve">Полный комплект документации ИС должен предъявляться в ходе проведения предварительных испытаний ИС в соответствии с требованиями ГОСТ 34.601-2020.</w:t>
      </w:r>
      <w:r/>
    </w:p>
    <w:p>
      <w:pPr>
        <w:pStyle w:val="1224"/>
      </w:pPr>
      <w:r>
        <w:t xml:space="preserve">Д</w:t>
      </w:r>
      <w:r>
        <w:t xml:space="preserve">олжен осуществляться «выходной контроль» комплекта технической/рабочей доку</w:t>
      </w:r>
      <w:r>
        <w:t xml:space="preserve">ментации на соответствие требованиям актуальной версии документа «Требования к документации, составу программных продуктов и автоматизированных систем, сдаваемых в Фонд алгоритмов и программ Федерального казначейства» (размещенного на официальном сайте ФК </w:t>
      </w:r>
      <w:hyperlink r:id="rId23" w:tooltip="http://www.roskazna.ru" w:history="1">
        <w:r>
          <w:rPr>
            <w:rStyle w:val="1231"/>
          </w:rPr>
          <w:t xml:space="preserve">www.roskazna.ru</w:t>
        </w:r>
      </w:hyperlink>
      <w:r>
        <w:t xml:space="preserve">)</w:t>
      </w:r>
      <w:r>
        <w:rPr>
          <w:rStyle w:val="1292"/>
          <w:b w:val="0"/>
        </w:rPr>
        <w:t xml:space="preserve"> до</w:t>
      </w:r>
      <w:r>
        <w:t xml:space="preserve"> его утверждения Федеральным казначейством. Указанный контроль должен включать проверку всех до</w:t>
      </w:r>
      <w:r>
        <w:t xml:space="preserve">кументов на соответствие требованиям к оформлению (титульный лист, единство стилей форматирования всех документов, соблюдение грамматических и пунктуационных правил, единообразие форматов рисунков и таблиц, включая их заголовки, подписи и нумерацию и пр.).</w:t>
      </w:r>
      <w:r/>
    </w:p>
    <w:p>
      <w:pPr>
        <w:pStyle w:val="1224"/>
      </w:pPr>
      <w:r>
        <w:t xml:space="preserve">В ходе «выходного контроля» исполнителем должна быть проверена со</w:t>
      </w:r>
      <w:r>
        <w:t xml:space="preserve">гласованность содержания комплекта документации в части единства наименований и перечня всех артефактов системы (функциональных областей, функций, серверов, ППО, БПО, серверов, СХД и пр.), а именно, они должны быть абсолютно одинаковыми во всех документах.</w:t>
      </w:r>
      <w:r/>
    </w:p>
    <w:p>
      <w:pPr>
        <w:pStyle w:val="1204"/>
        <w:rPr>
          <w:rFonts w:ascii="Times New Roman" w:hAnsi="Times New Roman"/>
        </w:rPr>
      </w:pPr>
      <w:r/>
      <w:bookmarkStart w:id="381" w:name="_Toc449441454"/>
      <w:r/>
      <w:bookmarkStart w:id="382" w:name="_Toc2762802"/>
      <w:r/>
      <w:bookmarkStart w:id="383" w:name="_Toc478556845"/>
      <w:r>
        <w:rPr>
          <w:rFonts w:ascii="Times New Roman" w:hAnsi="Times New Roman"/>
        </w:rPr>
        <w:t xml:space="preserve">Требования к документированию сервисно-ресурсной модели ИС</w:t>
      </w:r>
      <w:bookmarkEnd w:id="381"/>
      <w:r/>
      <w:bookmarkEnd w:id="382"/>
      <w:r/>
      <w:bookmarkEnd w:id="383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4"/>
      </w:pPr>
      <w:r>
        <w:t xml:space="preserve">Полное описание СРМ ИС должно содержаться в документе «Паспорт ИТ-сервиса», шаблон которого содержится в актуальной версии документа «Требования к докуме</w:t>
      </w:r>
      <w:r>
        <w:t xml:space="preserve">нтации, составу программных продуктов и автоматизированных систем, сдаваемых в Фонд алгоритмов и программ Федерального казначейства», утвержденного заместителем руководителя Федерального казначейства и размещенному на официальном сайте ФК www.roskazna.ru. </w:t>
      </w:r>
      <w:r/>
    </w:p>
    <w:p>
      <w:pPr>
        <w:pStyle w:val="1224"/>
      </w:pPr>
      <w:r>
        <w:t xml:space="preserve">Для каждого ИТ-сервиса, предоставляемого средствами ИС, должен быть разработан отдельный документ "Паспорт ИТ-сервиса".</w:t>
      </w:r>
      <w:r/>
    </w:p>
    <w:p>
      <w:pPr>
        <w:pStyle w:val="1224"/>
      </w:pPr>
      <w:r>
        <w:t xml:space="preserve">В качестве приложения к "Паспорту ИТ-сервиса" должен быть разработан Каталог ИТ-сервисов ИС в формате, соответствующем общему Каталогу ИТ-сервисов ФК. Каталог ИТ-сервисов ИС должен содержать следующую информацию:</w:t>
      </w:r>
      <w:r/>
    </w:p>
    <w:p>
      <w:pPr>
        <w:pStyle w:val="1273"/>
      </w:pPr>
      <w:r>
        <w:t xml:space="preserve">1) перечень ИТ-сервисов, предоставляемых ИС;</w:t>
      </w:r>
      <w:r/>
    </w:p>
    <w:p>
      <w:pPr>
        <w:pStyle w:val="1273"/>
      </w:pPr>
      <w:r>
        <w:t xml:space="preserve">2) перечень функциональных областей для каждого ИТ-сервиса;</w:t>
      </w:r>
      <w:r/>
    </w:p>
    <w:p>
      <w:pPr>
        <w:pStyle w:val="1273"/>
      </w:pPr>
      <w:r>
        <w:t xml:space="preserve">3) перечень функций, входящих в каждую функциональную область.</w:t>
      </w:r>
      <w:r/>
    </w:p>
    <w:p>
      <w:pPr>
        <w:pStyle w:val="1224"/>
      </w:pPr>
      <w:r>
        <w:t xml:space="preserve">Наименования всех ИТ-сервисов, функциональных областей и функций в каталоге ИТ-сервисов ИС должны в точности соответствовать аналогичным наименованиям в документе «Паспорт ИТ-сервиса» и на схеме СРМ.</w:t>
      </w:r>
      <w:r/>
    </w:p>
    <w:p>
      <w:pPr>
        <w:pStyle w:val="1224"/>
      </w:pPr>
      <w:r>
        <w:t xml:space="preserve">Графическая схема СРМ должна отражать иерархическую структуру ИТ-сервиса, предоставляемого системой.</w:t>
      </w:r>
      <w:r/>
    </w:p>
    <w:p>
      <w:pPr>
        <w:pStyle w:val="1224"/>
      </w:pPr>
      <w:r>
        <w:t xml:space="preserve">Графическая схема СРМ должна быть представлена в отдельном разделе документа «Паспорт ИТ-сервиса».</w:t>
      </w:r>
      <w:r/>
    </w:p>
    <w:p>
      <w:pPr>
        <w:pStyle w:val="1224"/>
      </w:pPr>
      <w:r>
        <w:t xml:space="preserve">На схеме СРМ должны быть показаны взаимосвязанные конфигурационные элементы (КЭ) следующих типов:</w:t>
      </w:r>
      <w:r/>
    </w:p>
    <w:p>
      <w:pPr>
        <w:pStyle w:val="1273"/>
      </w:pPr>
      <w:r>
        <w:t xml:space="preserve">1) ИТ-сервис;</w:t>
      </w:r>
      <w:r/>
    </w:p>
    <w:p>
      <w:pPr>
        <w:pStyle w:val="1273"/>
      </w:pPr>
      <w:r>
        <w:t xml:space="preserve">2) функциональная область;</w:t>
      </w:r>
      <w:r/>
    </w:p>
    <w:p>
      <w:pPr>
        <w:pStyle w:val="1273"/>
      </w:pPr>
      <w:r>
        <w:t xml:space="preserve">3) функция;</w:t>
      </w:r>
      <w:r/>
    </w:p>
    <w:p>
      <w:pPr>
        <w:pStyle w:val="1273"/>
      </w:pPr>
      <w:r>
        <w:t xml:space="preserve">4) структурный модуль;</w:t>
      </w:r>
      <w:r/>
    </w:p>
    <w:p>
      <w:pPr>
        <w:pStyle w:val="1273"/>
      </w:pPr>
      <w:r>
        <w:t xml:space="preserve">5) прикладное программное обеспечение;</w:t>
      </w:r>
      <w:r/>
    </w:p>
    <w:p>
      <w:pPr>
        <w:pStyle w:val="1273"/>
      </w:pPr>
      <w:r>
        <w:t xml:space="preserve">6) базисное программное обеспечение;</w:t>
      </w:r>
      <w:r/>
    </w:p>
    <w:p>
      <w:pPr>
        <w:pStyle w:val="1273"/>
      </w:pPr>
      <w:r>
        <w:t xml:space="preserve">7) база данных;</w:t>
      </w:r>
      <w:r/>
    </w:p>
    <w:p>
      <w:pPr>
        <w:pStyle w:val="1273"/>
      </w:pPr>
      <w:r>
        <w:t xml:space="preserve">8) система управления базами данных;</w:t>
      </w:r>
      <w:r/>
    </w:p>
    <w:p>
      <w:pPr>
        <w:pStyle w:val="1273"/>
      </w:pPr>
      <w:r>
        <w:t xml:space="preserve">9) серверное оборудование и системное программное обеспечение;</w:t>
      </w:r>
      <w:r/>
    </w:p>
    <w:p>
      <w:pPr>
        <w:pStyle w:val="1273"/>
      </w:pPr>
      <w:r>
        <w:t xml:space="preserve">10) система хранения данных;</w:t>
      </w:r>
      <w:r/>
    </w:p>
    <w:p>
      <w:pPr>
        <w:pStyle w:val="1273"/>
      </w:pPr>
      <w:r>
        <w:t xml:space="preserve">11) активное сетевое оборудование;</w:t>
      </w:r>
      <w:r/>
    </w:p>
    <w:p>
      <w:pPr>
        <w:pStyle w:val="1273"/>
      </w:pPr>
      <w:r>
        <w:t xml:space="preserve">12) система инженерного обеспечения.</w:t>
      </w:r>
      <w:r/>
    </w:p>
    <w:p>
      <w:pPr>
        <w:pStyle w:val="1224"/>
      </w:pPr>
      <w:r>
        <w:t xml:space="preserve">Автоматизируемые функции должны быть сгруппированы в функциональные области по принципу предметной или тематической общности; каждая функция должна входить только в одну ФО. Наименования всех функциональных областей и функций должны быть различны.</w:t>
      </w:r>
      <w:r/>
    </w:p>
    <w:p>
      <w:pPr>
        <w:pStyle w:val="1224"/>
      </w:pPr>
      <w:r>
        <w:t xml:space="preserve">Схема СРМ должна отвечать следующим требованиям:</w:t>
      </w:r>
      <w:r/>
    </w:p>
    <w:p>
      <w:pPr>
        <w:pStyle w:val="1245"/>
      </w:pPr>
      <w:r>
        <w:t xml:space="preserve">каждая функция должна быть связана с (реализована) только одним структурным модулем;</w:t>
      </w:r>
      <w:r/>
    </w:p>
    <w:p>
      <w:pPr>
        <w:pStyle w:val="1245"/>
      </w:pPr>
      <w:r>
        <w:t xml:space="preserve">каждый структурный модуль должен реализовывать функции только из одной ФО (возможно, не все);</w:t>
      </w:r>
      <w:r/>
    </w:p>
    <w:p>
      <w:pPr>
        <w:pStyle w:val="1245"/>
      </w:pPr>
      <w:r>
        <w:t xml:space="preserve">каждый структурный модуль должен быть реализован на базе отдельного ППО.</w:t>
      </w:r>
      <w:r/>
    </w:p>
    <w:p>
      <w:pPr>
        <w:pStyle w:val="1224"/>
      </w:pPr>
      <w:r>
        <w:t xml:space="preserve">Каждый КЭ должен иметь уникальное наименование (идентификатор), из которого должно быть ясно, на каком слое СРМ он расположен.</w:t>
      </w:r>
      <w:r/>
    </w:p>
    <w:p>
      <w:pPr>
        <w:pStyle w:val="1224"/>
      </w:pPr>
      <w:r>
        <w:t xml:space="preserve">Каждая связь на схеме СРМ должна быть пронумерована в виде NN_MM, где NN-номер слоя СРМ, на котором находится «верхний» КЭ, а MM-порядковый номер связи на этом слое СРМ. Нумерация слоев СРМ – сверху вниз.</w:t>
      </w:r>
      <w:r/>
    </w:p>
    <w:p>
      <w:pPr>
        <w:pStyle w:val="1224"/>
      </w:pPr>
      <w:r>
        <w:t xml:space="preserve">Критические связи должны быть показаны на схеме СРМ красным цветом.</w:t>
      </w:r>
      <w:r/>
    </w:p>
    <w:p>
      <w:pPr>
        <w:pStyle w:val="1224"/>
      </w:pPr>
      <w:r>
        <w:t xml:space="preserve">На схеме СРМ не должно быть КЭ, н</w:t>
      </w:r>
      <w:r>
        <w:t xml:space="preserve">е имеющих связей с КЭ, расположенными на более высоких слоях СРМ (за исключением КЭ типа «ИТ-сервис»). Аналогично, не должно быть КЭ, не имеющих связей с КЭ, расположенными на более низких слоях СРМ (за исключением, возможно, КЭ типов «СХД», «АСО», «СИО»).</w:t>
      </w:r>
      <w:r/>
    </w:p>
    <w:p>
      <w:pPr>
        <w:pStyle w:val="1224"/>
      </w:pPr>
      <w:r>
        <w:t xml:space="preserve">Информационные потоки ИС показываются на схеме СРМ горизонтальными стрелками между двумя структурными модулями и именуются, например, в виде «П2.1» («номер модуля-источника потока».«номер модуля-приемника»).</w:t>
      </w:r>
      <w:r/>
    </w:p>
    <w:p>
      <w:pPr>
        <w:pStyle w:val="1224"/>
      </w:pPr>
      <w:r>
        <w:t xml:space="preserve">Объемно-временные характеристики каждого потока должны быть приведены в таблице информационных потоков в "Паспорте ИТ-сервиса" в виде отдельной строки. </w:t>
      </w:r>
      <w:r/>
    </w:p>
    <w:p>
      <w:pPr>
        <w:pStyle w:val="1224"/>
      </w:pPr>
      <w:r>
        <w:t xml:space="preserve">Следующие данные в таблице информационных потоков и на схеме СРМ, должны быть идентичны:</w:t>
      </w:r>
      <w:r/>
    </w:p>
    <w:p>
      <w:pPr>
        <w:pStyle w:val="1245"/>
      </w:pPr>
      <w:r>
        <w:t xml:space="preserve">обозначение информационного потока;</w:t>
      </w:r>
      <w:r/>
    </w:p>
    <w:p>
      <w:pPr>
        <w:pStyle w:val="1245"/>
      </w:pPr>
      <w:r>
        <w:t xml:space="preserve">функция, для реализации которой предназначен данный поток;</w:t>
      </w:r>
      <w:r/>
    </w:p>
    <w:p>
      <w:pPr>
        <w:pStyle w:val="1245"/>
      </w:pPr>
      <w:r>
        <w:t xml:space="preserve">структурный модуль, являющийся источником информации;</w:t>
      </w:r>
      <w:r/>
    </w:p>
    <w:p>
      <w:pPr>
        <w:pStyle w:val="1245"/>
      </w:pPr>
      <w:r>
        <w:t xml:space="preserve">структурный модуль, являющийся приемником информации;</w:t>
      </w:r>
      <w:r/>
    </w:p>
    <w:p>
      <w:pPr>
        <w:pStyle w:val="1245"/>
      </w:pPr>
      <w:r>
        <w:t xml:space="preserve">перечень связей между компонентами различных слоев СРМ, задействованных в информационном потоке.</w:t>
      </w:r>
      <w:r/>
    </w:p>
    <w:p>
      <w:pPr>
        <w:pStyle w:val="1224"/>
      </w:pPr>
      <w:r>
        <w:t xml:space="preserve">Информационные потоки между структурными модулями системы и внешними системами не показываются на схем</w:t>
      </w:r>
      <w:r>
        <w:t xml:space="preserve">е СРМ, но должны быть указаны в таблице информационных потоков. Наименование внешней системы указывается, соответственно, в колонке "Структурный модуль-источник информации" или "Структурный модуль-получатель информации" в зависимости от направления потока.</w:t>
      </w:r>
      <w:r/>
    </w:p>
    <w:p>
      <w:pPr>
        <w:pStyle w:val="1224"/>
      </w:pPr>
      <w:r>
        <w:t xml:space="preserve">Перечень и наименования КЭ всех типов, показанных на схеме СРМ, должны в точности соответствовать аналогичным данным, приведенным в остальной рабочей документации ИС.</w:t>
      </w:r>
      <w:r/>
    </w:p>
    <w:p>
      <w:pPr>
        <w:pStyle w:val="1203"/>
        <w:rPr>
          <w:rFonts w:ascii="Times New Roman" w:hAnsi="Times New Roman"/>
        </w:rPr>
      </w:pPr>
      <w:r/>
      <w:bookmarkStart w:id="384" w:name="_Toc449441455"/>
      <w:r/>
      <w:bookmarkStart w:id="385" w:name="_Toc2762803"/>
      <w:r/>
      <w:bookmarkStart w:id="386" w:name="_Toc478556846"/>
      <w:r>
        <w:rPr>
          <w:rFonts w:ascii="Times New Roman" w:hAnsi="Times New Roman"/>
        </w:rPr>
        <w:t xml:space="preserve">Источники разработки</w:t>
      </w:r>
      <w:bookmarkEnd w:id="384"/>
      <w:r/>
      <w:bookmarkEnd w:id="385"/>
      <w:r/>
      <w:bookmarkEnd w:id="386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223"/>
      </w:pPr>
      <w:r>
        <w:t xml:space="preserve">Порядок оформления и предъявления Заказчику результатов работ по созданию ИС должен учитывать требования следующего комплекса стандартов и руководящих документов на создание автоматизированных систем:</w:t>
      </w:r>
      <w:r/>
    </w:p>
    <w:p>
      <w:pPr>
        <w:pStyle w:val="1245"/>
      </w:pPr>
      <w:r>
        <w:t xml:space="preserve">ГОСТ 34.003-90. Информационная технология. Комплекс стандартов на автоматизированные системы. Автоматизированные системы. Термины и определения;</w:t>
      </w:r>
      <w:r/>
    </w:p>
    <w:p>
      <w:pPr>
        <w:pStyle w:val="1245"/>
      </w:pPr>
      <w:r>
        <w:t xml:space="preserve">ГОСТ 34.201-89.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  <w:r/>
    </w:p>
    <w:p>
      <w:pPr>
        <w:pStyle w:val="1245"/>
      </w:pPr>
      <w:r>
        <w:t xml:space="preserve">ГОСТ 34.601-</w:t>
      </w:r>
      <w:r>
        <w:t xml:space="preserve">2020</w:t>
      </w:r>
      <w:r>
        <w:t xml:space="preserve">. Информационная технология. Комплекс стандартов на автоматизированные системы. Автоматизированные системы. Стадии создания;</w:t>
      </w:r>
      <w:r/>
    </w:p>
    <w:p>
      <w:pPr>
        <w:pStyle w:val="1245"/>
      </w:pPr>
      <w:r>
        <w:t xml:space="preserve">ГОСТ 34.602-89.Информационная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  <w:r/>
    </w:p>
    <w:p>
      <w:pPr>
        <w:pStyle w:val="1245"/>
      </w:pPr>
      <w:r>
        <w:t xml:space="preserve">ГОСТ 34.603-92. Информационная технология. Виды испытаний автоматизированных систем</w:t>
      </w:r>
      <w:r>
        <w:t xml:space="preserve">;</w:t>
      </w:r>
      <w:r/>
    </w:p>
    <w:p>
      <w:pPr>
        <w:pStyle w:val="1245"/>
      </w:pPr>
      <w:r>
        <w:t xml:space="preserve">ГОСТ </w:t>
      </w:r>
      <w:r>
        <w:t xml:space="preserve">Р </w:t>
      </w:r>
      <w:r>
        <w:t xml:space="preserve">59792-2021</w:t>
      </w:r>
      <w:r>
        <w:t xml:space="preserve">.</w:t>
      </w:r>
      <w:r>
        <w:t xml:space="preserve"> </w:t>
      </w:r>
      <w:r>
        <w:t xml:space="preserve">Информационная технология. Криптографическая защита информации. Процессы формирования и проверки электронной цифровой подписи</w:t>
      </w:r>
      <w:r>
        <w:rPr>
          <w:lang w:val="en-US"/>
        </w:rPr>
        <w:t xml:space="preserve">.</w:t>
      </w:r>
      <w:r/>
    </w:p>
    <w:p>
      <w:pPr>
        <w:pStyle w:val="1277"/>
        <w:rPr>
          <w:rStyle w:val="1293"/>
        </w:rPr>
      </w:pPr>
      <w:r>
        <w:rPr>
          <w:rStyle w:val="1293"/>
        </w:rPr>
        <w:t xml:space="preserve">В разделе должны быть перечислены все документы и информационные материалы (технико-</w:t>
      </w:r>
      <w:r>
        <w:rPr>
          <w:rStyle w:val="1293"/>
        </w:rPr>
        <w:t xml:space="preserve">экономическое обоснование, отчеты о законченных научно-исследовательских работах, информационные материалы на отечественные, зарубежные системы-аналоги и др.), на основании которых разрабатывалось ТЗ и которые должны быть использованы при создании системы.</w:t>
      </w:r>
      <w:r>
        <w:rPr>
          <w:rStyle w:val="1293"/>
        </w:rPr>
      </w:r>
      <w:r>
        <w:rPr>
          <w:rStyle w:val="1293"/>
        </w:rPr>
      </w:r>
    </w:p>
    <w:p>
      <w:pPr>
        <w:pStyle w:val="1277"/>
        <w:rPr>
          <w:rStyle w:val="1293"/>
        </w:rPr>
      </w:pPr>
      <w:r>
        <w:rPr>
          <w:rStyle w:val="1293"/>
        </w:rPr>
        <w:t xml:space="preserve">Кроме того, в содержание раздела могут быть включены: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перечень НПА, на основании которых заявлены требования настоящего ТЗ; 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разъяснительные письма Министерства финансов Российской Федерации, Федерального казначейства, иных органов государственной власти, конкретизирующие и детализирующие общие положения НПА и/или порядок исполнения функций Федерального казначейства;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утвержденные Планы деятельности Федерального казначейства;</w:t>
      </w:r>
      <w:r>
        <w:rPr>
          <w:rStyle w:val="1293"/>
        </w:rPr>
      </w:r>
      <w:r>
        <w:rPr>
          <w:rStyle w:val="1293"/>
        </w:rPr>
      </w:r>
    </w:p>
    <w:p>
      <w:pPr>
        <w:pStyle w:val="1245"/>
        <w:rPr>
          <w:rStyle w:val="1293"/>
        </w:rPr>
      </w:pPr>
      <w:r>
        <w:rPr>
          <w:rStyle w:val="1293"/>
        </w:rPr>
        <w:t xml:space="preserve">решения об автоматизации исполнения существующих полномочий Федерального казначейства.</w:t>
      </w:r>
      <w:r>
        <w:rPr>
          <w:rStyle w:val="1293"/>
        </w:rPr>
      </w:r>
      <w:r>
        <w:rPr>
          <w:rStyle w:val="1293"/>
        </w:rPr>
      </w:r>
    </w:p>
    <w:p>
      <w:pPr>
        <w:pStyle w:val="1220"/>
      </w:pPr>
      <w:r/>
      <w:r/>
    </w:p>
    <w:p>
      <w:pPr>
        <w:pStyle w:val="1220"/>
      </w:pPr>
      <w:r/>
      <w:r/>
    </w:p>
    <w:p>
      <w:pPr>
        <w:pStyle w:val="1232"/>
        <w:rPr>
          <w:rFonts w:ascii="Times New Roman" w:hAnsi="Times New Roman"/>
        </w:rPr>
      </w:pPr>
      <w:r>
        <w:rPr>
          <w:rFonts w:ascii="Times New Roman" w:hAnsi="Times New Roman"/>
        </w:rPr>
        <w:br w:type="page" w:clear="all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Согласовано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/>
              <w:t xml:space="preserve">исполнителя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pStyle w:val="1232"/>
        <w:rPr>
          <w:rFonts w:ascii="Times New Roman" w:hAnsi="Times New Roman"/>
        </w:rPr>
      </w:pPr>
      <w:r/>
      <w:bookmarkStart w:id="391" w:name="_Toc358118979"/>
      <w:r/>
      <w:bookmarkStart w:id="392" w:name="_Toc403720970"/>
      <w:r>
        <w:rPr>
          <w:rFonts w:ascii="Times New Roman" w:hAnsi="Times New Roman"/>
        </w:rPr>
        <w:br w:type="page" w:clear="all"/>
        <w:t xml:space="preserve">Лист регистрации изменений</w:t>
      </w:r>
      <w:bookmarkEnd w:id="391"/>
      <w:r/>
      <w:bookmarkEnd w:id="392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  <w:t xml:space="preserve">версии док-та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  <w:br/>
              <w:t xml:space="preserve">изменения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Автор</w:t>
            </w:r>
            <w:r>
              <w:rPr>
                <w:b/>
              </w:rPr>
              <w:br/>
              <w:t xml:space="preserve">изменений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>
              <w:t xml:space="preserve">01.01.2000</w:t>
            </w:r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>
              <w:t xml:space="preserve">Иванов И.А.</w:t>
            </w:r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r/>
      <w:r/>
    </w:p>
    <w:sectPr>
      <w:headerReference w:type="default" r:id="rId10"/>
      <w:footerReference w:type="first" r:id="rId12"/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1"/>
      <w:rPr>
        <w:rStyle w:val="1294"/>
        <w:lang w:val="en-US"/>
      </w:rPr>
    </w:pPr>
    <w:r>
      <w:t xml:space="preserve">20</w:t>
    </w:r>
    <w:r>
      <w:rPr>
        <w:rStyle w:val="1294"/>
      </w:rPr>
      <w:t xml:space="preserve">  </w:t>
    </w:r>
    <w:r>
      <w:rPr>
        <w:rStyle w:val="1294"/>
        <w:lang w:val="en-US"/>
      </w:rPr>
      <w:t xml:space="preserve"> </w:t>
    </w:r>
    <w:r>
      <w:t xml:space="preserve">г.</w:t>
    </w:r>
    <w:r>
      <w:rPr>
        <w:rStyle w:val="1294"/>
        <w:lang w:val="en-US"/>
      </w:rPr>
    </w:r>
    <w:r>
      <w:rPr>
        <w:rStyle w:val="1294"/>
        <w:lang w:val="en-US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1"/>
      <w:rPr>
        <w:rStyle w:val="1294"/>
        <w:lang w:val="en-US"/>
      </w:rPr>
    </w:pPr>
    <w:r>
      <w:t xml:space="preserve">20</w:t>
    </w:r>
    <w:r>
      <w:rPr>
        <w:rStyle w:val="1294"/>
      </w:rPr>
      <w:t xml:space="preserve">  </w:t>
    </w:r>
    <w:r>
      <w:rPr>
        <w:rStyle w:val="1294"/>
        <w:lang w:val="en-US"/>
      </w:rPr>
      <w:t xml:space="preserve"> </w:t>
    </w:r>
    <w:r>
      <w:t xml:space="preserve">г.</w:t>
    </w:r>
    <w:r>
      <w:rPr>
        <w:rStyle w:val="1294"/>
        <w:lang w:val="en-US"/>
      </w:rPr>
    </w:r>
    <w:r>
      <w:rPr>
        <w:rStyle w:val="1294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r>
        <w:rPr>
          <w:rStyle w:val="1252"/>
        </w:rPr>
        <w:footnoteRef/>
      </w:r>
      <w:r>
        <w:t xml:space="preserve"> Формат таблицы информационных потоков приводится в шаблоне документа "Паспорт ИТ-сервиса" из состава шаблонов документов ФАП</w:t>
      </w:r>
      <w:r/>
    </w:p>
  </w:footnote>
  <w:footnote w:id="4">
    <w:p>
      <w:r>
        <w:rPr>
          <w:rStyle w:val="1252"/>
        </w:rPr>
        <w:footnoteRef/>
      </w:r>
      <w:r>
        <w:t xml:space="preserve"> Для каждой ИС показатели назначения в ТЗ определяются индивидуально. </w:t>
      </w:r>
      <w:r/>
    </w:p>
  </w:footnote>
  <w:footnote w:id="5">
    <w:p>
      <w:r>
        <w:rPr>
          <w:rStyle w:val="1252"/>
        </w:rPr>
        <w:footnoteRef/>
      </w:r>
      <w:r>
        <w:t xml:space="preserve"> При необходимости для подсистем ИС, а также её конфигурационных элементов в ТЗ могут приводиться отдельные требования к надёжности. </w:t>
      </w:r>
      <w:r/>
    </w:p>
  </w:footnote>
  <w:footnote w:id="6">
    <w:p>
      <w:r>
        <w:rPr>
          <w:rStyle w:val="1252"/>
        </w:rPr>
        <w:footnoteRef/>
      </w:r>
      <w:r>
        <w:t xml:space="preserve"> Под доступностью сервиса понимается возможность использования пользователем всех предоставляемых им функций при условии соответствия их заданным в ТЗ показателям производительности (входят в состав показателей назначения) и прочим требованиям.</w:t>
      </w:r>
      <w:r/>
    </w:p>
  </w:footnote>
  <w:footnote w:id="7">
    <w:p>
      <w:r>
        <w:rPr>
          <w:rStyle w:val="1252"/>
        </w:rPr>
        <w:footnoteRef/>
      </w:r>
      <w:r>
        <w:t xml:space="preserve"> В качестве исходных данных для оценки надёжности могут быть использованы показатели надёжности используемых технических средств и статистические данные о надёжности программного обеспечения (при наличии таких данных).</w:t>
      </w:r>
      <w:r/>
    </w:p>
    <w:p>
      <w:r>
        <w:t xml:space="preserve">Требования к методам оценки и контроля показателей надежности на разных стадиях создания ИС могут быть приведены в настоящем ТЗ.</w:t>
      </w:r>
      <w:r/>
    </w:p>
  </w:footnote>
  <w:footnote w:id="8">
    <w:p>
      <w:r>
        <w:rPr>
          <w:rStyle w:val="1252"/>
        </w:rPr>
        <w:footnoteRef/>
      </w:r>
      <w:r>
        <w:t xml:space="preserve"> Объектами резервного копирования (далее – объекты РК) являются данные ИС, необходимые и достаточные для восстановления её штатного функционирования после аварий и сбоев.</w:t>
      </w:r>
      <w:r/>
    </w:p>
  </w:footnote>
  <w:footnote w:id="9">
    <w:p>
      <w:r>
        <w:rPr>
          <w:rStyle w:val="1252"/>
        </w:rPr>
        <w:footnoteRef/>
      </w:r>
      <w:r>
        <w:t xml:space="preserve"> в зависимости от вида прил</w:t>
      </w:r>
      <w:r>
        <w:t xml:space="preserve">ожения в качестве конфигурационных параметров могут рассматриваться сетевые имена и IP адреса компьютеров, номера портов, названия баз данных, число выполняемых процессов и потоков, максимальное число подключаемых пользователей, число очередей данных и др.</w:t>
      </w:r>
      <w:r/>
    </w:p>
  </w:footnote>
  <w:footnote w:id="10">
    <w:p>
      <w:r>
        <w:rPr>
          <w:rStyle w:val="1252"/>
        </w:rPr>
        <w:footnoteRef/>
      </w:r>
      <w:r>
        <w:t xml:space="preserve"> Сроки работ уточняются договорными документами</w:t>
      </w:r>
      <w:r/>
    </w:p>
  </w:footnote>
  <w:footnote w:id="11">
    <w:p>
      <w:r>
        <w:rPr>
          <w:rStyle w:val="1252"/>
        </w:rPr>
        <w:footnoteRef/>
      </w:r>
      <w:r>
        <w:t xml:space="preserve"> Приведенный список может быть дополнен на этапе разработки ТЗ</w:t>
      </w:r>
      <w:r/>
    </w:p>
  </w:footnote>
  <w:footnote w:id="12">
    <w:p>
      <w:r>
        <w:rPr>
          <w:rStyle w:val="1252"/>
        </w:rPr>
        <w:footnoteRef/>
      </w:r>
      <w:r>
        <w:t xml:space="preserve"> Приведенный список может быть дополнен на этапе разработки ТЗ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Название документа: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Техническое задание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XXXXXXXX.AA.BB,BB.</w:t>
          </w:r>
          <w:r>
            <w:rPr>
              <w:rStyle w:val="1292"/>
            </w:rPr>
            <w:t xml:space="preserve">ТЗ</w:t>
          </w:r>
          <w:r>
            <w:t xml:space="preserve">.DDD-E.E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287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2</w:t>
          </w:r>
          <w:r>
            <w:fldChar w:fldCharType="end"/>
          </w:r>
          <w:r/>
        </w:p>
      </w:tc>
    </w:tr>
  </w:tbl>
  <w:p>
    <w:pPr>
      <w:pStyle w:val="122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Название документа: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Техническое задание/Частное техническое задание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287"/>
          </w:pPr>
          <w:r>
            <w:t xml:space="preserve">XXXXXXXX.AA.BB,BB.</w:t>
          </w:r>
          <w:r>
            <w:rPr>
              <w:rStyle w:val="1292"/>
            </w:rPr>
            <w:t xml:space="preserve">ТЗ</w:t>
          </w:r>
          <w:r>
            <w:t xml:space="preserve">.DDD-EЕ.EЕ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287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68</w:t>
          </w:r>
          <w:r>
            <w:fldChar w:fldCharType="end"/>
          </w:r>
          <w:r/>
        </w:p>
      </w:tc>
    </w:tr>
  </w:tbl>
  <w:p>
    <w:pPr>
      <w:pStyle w:val="122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08" w:hanging="1008"/>
      </w:pPr>
      <w:rPr>
        <w:rFonts w:hint="default"/>
      </w:rPr>
    </w:lvl>
    <w:lvl w:ilvl="1">
      <w:start w:val="12"/>
      <w:numFmt w:val="decimal"/>
      <w:isLgl w:val="false"/>
      <w:suff w:val="tab"/>
      <w:lvlText w:val="%1.%2."/>
      <w:lvlJc w:val="left"/>
      <w:pPr>
        <w:ind w:left="1244" w:hanging="1008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80" w:hanging="1008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pStyle w:val="1282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pStyle w:val="1245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203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204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205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1206"/>
      <w:isLgl w:val="false"/>
      <w:suff w:val="space"/>
      <w:lvlText w:val="%1.%2.%3.%4"/>
      <w:lvlJc w:val="left"/>
      <w:pPr>
        <w:ind w:left="0" w:firstLine="0"/>
      </w:pPr>
      <w:rPr>
        <w:rFonts w:hint="default"/>
        <w:color w:val="auto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pStyle w:val="1264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none"/>
      <w:pStyle w:val="1246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bullet"/>
      <w:pStyle w:val="1253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306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pStyle w:val="1241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pStyle w:val="1248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pStyle w:val="1238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21"/>
  </w:num>
  <w:num w:numId="3">
    <w:abstractNumId w:val="10"/>
  </w:num>
  <w:num w:numId="4">
    <w:abstractNumId w:val="22"/>
  </w:num>
  <w:num w:numId="5">
    <w:abstractNumId w:val="20"/>
  </w:num>
  <w:num w:numId="6">
    <w:abstractNumId w:val="12"/>
  </w:num>
  <w:num w:numId="7">
    <w:abstractNumId w:val="3"/>
  </w:num>
  <w:num w:numId="8">
    <w:abstractNumId w:val="5"/>
  </w:num>
  <w:num w:numId="9">
    <w:abstractNumId w:val="1"/>
  </w:num>
  <w:num w:numId="10">
    <w:abstractNumId w:val="16"/>
  </w:num>
  <w:num w:numId="11">
    <w:abstractNumId w:val="21"/>
    <w:lvlOverride w:ilvl="0">
      <w:startOverride w:val="1"/>
    </w:lvlOverride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18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19"/>
  </w:num>
  <w:num w:numId="26">
    <w:abstractNumId w:val="6"/>
  </w:num>
  <w:num w:numId="27">
    <w:abstractNumId w:val="13"/>
  </w:num>
  <w:num w:numId="28">
    <w:abstractNumId w:val="15"/>
  </w:num>
  <w:num w:numId="29">
    <w:abstractNumId w:val="8"/>
  </w:num>
  <w:num w:numId="30">
    <w:abstractNumId w:val="4"/>
  </w:num>
  <w:num w:numId="31">
    <w:abstractNumId w:val="9"/>
  </w:num>
  <w:num w:numId="32">
    <w:abstractNumId w:val="7"/>
  </w:num>
  <w:num w:numId="33">
    <w:abstractNumId w:val="3"/>
    <w:lvlOverride w:ilvl="0">
      <w:startOverride w:val="4"/>
    </w:lvlOverride>
    <w:lvlOverride w:ilvl="1">
      <w:startOverride w:val="12"/>
    </w:lvlOverride>
    <w:lvlOverride w:ilvl="2">
      <w:startOverride w:val="2"/>
    </w:lvlOverride>
    <w:lvlOverride w:ilvl="3">
      <w:startOverride w:val="7"/>
    </w:lvlOverride>
  </w:num>
  <w:num w:numId="34">
    <w:abstractNumId w:val="3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51">
    <w:name w:val="Heading 1 Char"/>
    <w:basedOn w:val="1210"/>
    <w:link w:val="1203"/>
    <w:uiPriority w:val="9"/>
    <w:rPr>
      <w:rFonts w:ascii="Arial" w:hAnsi="Arial" w:eastAsia="Arial" w:cs="Arial"/>
      <w:sz w:val="40"/>
      <w:szCs w:val="40"/>
    </w:rPr>
  </w:style>
  <w:style w:type="character" w:styleId="1052">
    <w:name w:val="Heading 2 Char"/>
    <w:basedOn w:val="1210"/>
    <w:link w:val="1204"/>
    <w:uiPriority w:val="9"/>
    <w:rPr>
      <w:rFonts w:ascii="Arial" w:hAnsi="Arial" w:eastAsia="Arial" w:cs="Arial"/>
      <w:sz w:val="34"/>
    </w:rPr>
  </w:style>
  <w:style w:type="character" w:styleId="1053">
    <w:name w:val="Heading 3 Char"/>
    <w:basedOn w:val="1210"/>
    <w:link w:val="1205"/>
    <w:uiPriority w:val="9"/>
    <w:rPr>
      <w:rFonts w:ascii="Arial" w:hAnsi="Arial" w:eastAsia="Arial" w:cs="Arial"/>
      <w:sz w:val="30"/>
      <w:szCs w:val="30"/>
    </w:rPr>
  </w:style>
  <w:style w:type="character" w:styleId="1054">
    <w:name w:val="Heading 4 Char"/>
    <w:basedOn w:val="1210"/>
    <w:link w:val="1206"/>
    <w:uiPriority w:val="9"/>
    <w:rPr>
      <w:rFonts w:ascii="Arial" w:hAnsi="Arial" w:eastAsia="Arial" w:cs="Arial"/>
      <w:b/>
      <w:bCs/>
      <w:sz w:val="26"/>
      <w:szCs w:val="26"/>
    </w:rPr>
  </w:style>
  <w:style w:type="character" w:styleId="1055">
    <w:name w:val="Heading 5 Char"/>
    <w:basedOn w:val="1210"/>
    <w:link w:val="1207"/>
    <w:uiPriority w:val="9"/>
    <w:rPr>
      <w:rFonts w:ascii="Arial" w:hAnsi="Arial" w:eastAsia="Arial" w:cs="Arial"/>
      <w:b/>
      <w:bCs/>
      <w:sz w:val="24"/>
      <w:szCs w:val="24"/>
    </w:rPr>
  </w:style>
  <w:style w:type="character" w:styleId="1056">
    <w:name w:val="Heading 6 Char"/>
    <w:basedOn w:val="1210"/>
    <w:link w:val="1208"/>
    <w:uiPriority w:val="9"/>
    <w:rPr>
      <w:rFonts w:ascii="Arial" w:hAnsi="Arial" w:eastAsia="Arial" w:cs="Arial"/>
      <w:b/>
      <w:bCs/>
      <w:sz w:val="22"/>
      <w:szCs w:val="22"/>
    </w:rPr>
  </w:style>
  <w:style w:type="character" w:styleId="1057">
    <w:name w:val="Heading 7 Char"/>
    <w:basedOn w:val="1210"/>
    <w:link w:val="12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058">
    <w:name w:val="Heading 8"/>
    <w:basedOn w:val="1202"/>
    <w:next w:val="1202"/>
    <w:link w:val="105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59">
    <w:name w:val="Heading 8 Char"/>
    <w:basedOn w:val="1210"/>
    <w:link w:val="1058"/>
    <w:uiPriority w:val="9"/>
    <w:rPr>
      <w:rFonts w:ascii="Arial" w:hAnsi="Arial" w:eastAsia="Arial" w:cs="Arial"/>
      <w:i/>
      <w:iCs/>
      <w:sz w:val="22"/>
      <w:szCs w:val="22"/>
    </w:rPr>
  </w:style>
  <w:style w:type="paragraph" w:styleId="1060">
    <w:name w:val="Heading 9"/>
    <w:basedOn w:val="1202"/>
    <w:next w:val="1202"/>
    <w:link w:val="106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61">
    <w:name w:val="Heading 9 Char"/>
    <w:basedOn w:val="1210"/>
    <w:link w:val="1060"/>
    <w:uiPriority w:val="9"/>
    <w:rPr>
      <w:rFonts w:ascii="Arial" w:hAnsi="Arial" w:eastAsia="Arial" w:cs="Arial"/>
      <w:i/>
      <w:iCs/>
      <w:sz w:val="21"/>
      <w:szCs w:val="21"/>
    </w:rPr>
  </w:style>
  <w:style w:type="paragraph" w:styleId="1062">
    <w:name w:val="No Spacing"/>
    <w:uiPriority w:val="1"/>
    <w:qFormat/>
    <w:pPr>
      <w:spacing w:before="0" w:after="0" w:line="240" w:lineRule="auto"/>
    </w:pPr>
  </w:style>
  <w:style w:type="paragraph" w:styleId="1063">
    <w:name w:val="Title"/>
    <w:basedOn w:val="1202"/>
    <w:next w:val="1202"/>
    <w:link w:val="106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64">
    <w:name w:val="Title Char"/>
    <w:basedOn w:val="1210"/>
    <w:link w:val="1063"/>
    <w:uiPriority w:val="10"/>
    <w:rPr>
      <w:sz w:val="48"/>
      <w:szCs w:val="48"/>
    </w:rPr>
  </w:style>
  <w:style w:type="paragraph" w:styleId="1065">
    <w:name w:val="Subtitle"/>
    <w:basedOn w:val="1202"/>
    <w:next w:val="1202"/>
    <w:link w:val="1066"/>
    <w:uiPriority w:val="11"/>
    <w:qFormat/>
    <w:pPr>
      <w:spacing w:before="200" w:after="200"/>
    </w:pPr>
    <w:rPr>
      <w:sz w:val="24"/>
      <w:szCs w:val="24"/>
    </w:rPr>
  </w:style>
  <w:style w:type="character" w:styleId="1066">
    <w:name w:val="Subtitle Char"/>
    <w:basedOn w:val="1210"/>
    <w:link w:val="1065"/>
    <w:uiPriority w:val="11"/>
    <w:rPr>
      <w:sz w:val="24"/>
      <w:szCs w:val="24"/>
    </w:rPr>
  </w:style>
  <w:style w:type="paragraph" w:styleId="1067">
    <w:name w:val="Quote"/>
    <w:basedOn w:val="1202"/>
    <w:next w:val="1202"/>
    <w:link w:val="1068"/>
    <w:uiPriority w:val="29"/>
    <w:qFormat/>
    <w:pPr>
      <w:ind w:left="720" w:right="720"/>
    </w:pPr>
    <w:rPr>
      <w:i/>
    </w:rPr>
  </w:style>
  <w:style w:type="character" w:styleId="1068">
    <w:name w:val="Quote Char"/>
    <w:link w:val="1067"/>
    <w:uiPriority w:val="29"/>
    <w:rPr>
      <w:i/>
    </w:rPr>
  </w:style>
  <w:style w:type="paragraph" w:styleId="1069">
    <w:name w:val="Intense Quote"/>
    <w:basedOn w:val="1202"/>
    <w:next w:val="1202"/>
    <w:link w:val="107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70">
    <w:name w:val="Intense Quote Char"/>
    <w:link w:val="1069"/>
    <w:uiPriority w:val="30"/>
    <w:rPr>
      <w:i/>
    </w:rPr>
  </w:style>
  <w:style w:type="character" w:styleId="1071">
    <w:name w:val="Header Char"/>
    <w:basedOn w:val="1210"/>
    <w:link w:val="1229"/>
    <w:uiPriority w:val="99"/>
  </w:style>
  <w:style w:type="character" w:styleId="1072">
    <w:name w:val="Footer Char"/>
    <w:basedOn w:val="1210"/>
    <w:link w:val="1233"/>
    <w:uiPriority w:val="99"/>
  </w:style>
  <w:style w:type="character" w:styleId="1073">
    <w:name w:val="Caption Char"/>
    <w:basedOn w:val="1296"/>
    <w:link w:val="1233"/>
    <w:uiPriority w:val="99"/>
  </w:style>
  <w:style w:type="table" w:styleId="1074">
    <w:name w:val="Table Grid Light"/>
    <w:basedOn w:val="12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75">
    <w:name w:val="Plain Table 1"/>
    <w:basedOn w:val="12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76">
    <w:name w:val="Plain Table 2"/>
    <w:basedOn w:val="12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77">
    <w:name w:val="Plain Table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78">
    <w:name w:val="Plain Table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Plain Table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80">
    <w:name w:val="Grid Table 1 Light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Grid Table 1 Light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Grid Table 1 Light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Grid Table 1 Light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Grid Table 1 Light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Grid Table 1 Light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Grid Table 1 Light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Grid Table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>
    <w:name w:val="Grid Table 2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>
    <w:name w:val="Grid Table 2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>
    <w:name w:val="Grid Table 2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>
    <w:name w:val="Grid Table 2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>
    <w:name w:val="Grid Table 2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>
    <w:name w:val="Grid Table 2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>
    <w:name w:val="Grid Table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>
    <w:name w:val="Grid Table 3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>
    <w:name w:val="Grid Table 3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>
    <w:name w:val="Grid Table 3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>
    <w:name w:val="Grid Table 3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>
    <w:name w:val="Grid Table 3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>
    <w:name w:val="Grid Table 3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>
    <w:name w:val="Grid Table 4"/>
    <w:basedOn w:val="12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02">
    <w:name w:val="Grid Table 4 - Accent 1"/>
    <w:basedOn w:val="12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03">
    <w:name w:val="Grid Table 4 - Accent 2"/>
    <w:basedOn w:val="12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04">
    <w:name w:val="Grid Table 4 - Accent 3"/>
    <w:basedOn w:val="12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05">
    <w:name w:val="Grid Table 4 - Accent 4"/>
    <w:basedOn w:val="12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06">
    <w:name w:val="Grid Table 4 - Accent 5"/>
    <w:basedOn w:val="12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07">
    <w:name w:val="Grid Table 4 - Accent 6"/>
    <w:basedOn w:val="12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08">
    <w:name w:val="Grid Table 5 Dark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09">
    <w:name w:val="Grid Table 5 Dark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10">
    <w:name w:val="Grid Table 5 Dark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11">
    <w:name w:val="Grid Table 5 Dark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12">
    <w:name w:val="Grid Table 5 Dark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13">
    <w:name w:val="Grid Table 5 Dark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14">
    <w:name w:val="Grid Table 5 Dark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15">
    <w:name w:val="Grid Table 6 Colorful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116">
    <w:name w:val="Grid Table 6 Colorful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117">
    <w:name w:val="Grid Table 6 Colorful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118">
    <w:name w:val="Grid Table 6 Colorful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119">
    <w:name w:val="Grid Table 6 Colorful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120">
    <w:name w:val="Grid Table 6 Colorful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121">
    <w:name w:val="Grid Table 6 Colorful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122">
    <w:name w:val="Grid Table 7 Colorful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3">
    <w:name w:val="Grid Table 7 Colorful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4">
    <w:name w:val="Grid Table 7 Colorful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5">
    <w:name w:val="Grid Table 7 Colorful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6">
    <w:name w:val="Grid Table 7 Colorful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7">
    <w:name w:val="Grid Table 7 Colorful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8">
    <w:name w:val="Grid Table 7 Colorful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9">
    <w:name w:val="List Table 1 Light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0">
    <w:name w:val="List Table 1 Light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1">
    <w:name w:val="List Table 1 Light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2">
    <w:name w:val="List Table 1 Light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3">
    <w:name w:val="List Table 1 Light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4">
    <w:name w:val="List Table 1 Light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5">
    <w:name w:val="List Table 1 Light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6">
    <w:name w:val="List Table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7">
    <w:name w:val="List Table 2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8">
    <w:name w:val="List Table 2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9">
    <w:name w:val="List Table 2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0">
    <w:name w:val="List Table 2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1">
    <w:name w:val="List Table 2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42">
    <w:name w:val="List Table 2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43">
    <w:name w:val="List Table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List Table 3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List Table 3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List Table 3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7">
    <w:name w:val="List Table 3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8">
    <w:name w:val="List Table 3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9">
    <w:name w:val="List Table 3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0">
    <w:name w:val="List Table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1">
    <w:name w:val="List Table 4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2">
    <w:name w:val="List Table 4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3">
    <w:name w:val="List Table 4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4">
    <w:name w:val="List Table 4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5">
    <w:name w:val="List Table 4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6">
    <w:name w:val="List Table 4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7">
    <w:name w:val="List Table 5 Dark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58">
    <w:name w:val="List Table 5 Dark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59">
    <w:name w:val="List Table 5 Dark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0">
    <w:name w:val="List Table 5 Dark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1">
    <w:name w:val="List Table 5 Dark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2">
    <w:name w:val="List Table 5 Dark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3">
    <w:name w:val="List Table 5 Dark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4">
    <w:name w:val="List Table 6 Colorful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65">
    <w:name w:val="List Table 6 Colorful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66">
    <w:name w:val="List Table 6 Colorful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7">
    <w:name w:val="List Table 6 Colorful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68">
    <w:name w:val="List Table 6 Colorful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9">
    <w:name w:val="List Table 6 Colorful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70">
    <w:name w:val="List Table 6 Colorful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71">
    <w:name w:val="List Table 7 Colorful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72">
    <w:name w:val="List Table 7 Colorful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173">
    <w:name w:val="List Table 7 Colorful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174">
    <w:name w:val="List Table 7 Colorful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175">
    <w:name w:val="List Table 7 Colorful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176">
    <w:name w:val="List Table 7 Colorful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177">
    <w:name w:val="List Table 7 Colorful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178">
    <w:name w:val="Lined - Accent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79">
    <w:name w:val="Lined - Accent 1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80">
    <w:name w:val="Lined - Accent 2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81">
    <w:name w:val="Lined - Accent 3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82">
    <w:name w:val="Lined - Accent 4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83">
    <w:name w:val="Lined - Accent 5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84">
    <w:name w:val="Lined - Accent 6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85">
    <w:name w:val="Bordered &amp; Lined - Accent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86">
    <w:name w:val="Bordered &amp; Lined - Accent 1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187">
    <w:name w:val="Bordered &amp; Lined - Accent 2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188">
    <w:name w:val="Bordered &amp; Lined - Accent 3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189">
    <w:name w:val="Bordered &amp; Lined - Accent 4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190">
    <w:name w:val="Bordered &amp; Lined - Accent 5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191">
    <w:name w:val="Bordered &amp; Lined - Accent 6"/>
    <w:basedOn w:val="12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192">
    <w:name w:val="Bordered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93">
    <w:name w:val="Bordered - Accent 1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94">
    <w:name w:val="Bordered - Accent 2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95">
    <w:name w:val="Bordered - Accent 3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96">
    <w:name w:val="Bordered - Accent 4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97">
    <w:name w:val="Bordered - Accent 5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98">
    <w:name w:val="Bordered - Accent 6"/>
    <w:basedOn w:val="12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99">
    <w:name w:val="Footnote Text Char"/>
    <w:link w:val="1250"/>
    <w:uiPriority w:val="99"/>
    <w:rPr>
      <w:sz w:val="18"/>
    </w:rPr>
  </w:style>
  <w:style w:type="character" w:styleId="1200">
    <w:name w:val="Endnote Text Char"/>
    <w:link w:val="1282"/>
    <w:uiPriority w:val="99"/>
    <w:rPr>
      <w:sz w:val="20"/>
    </w:rPr>
  </w:style>
  <w:style w:type="paragraph" w:styleId="1201">
    <w:name w:val="TOC Heading"/>
    <w:uiPriority w:val="39"/>
    <w:unhideWhenUsed/>
  </w:style>
  <w:style w:type="paragraph" w:styleId="1202" w:default="1">
    <w:name w:val="Normal"/>
    <w:qFormat/>
    <w:pPr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paragraph" w:styleId="1203">
    <w:name w:val="Heading 1"/>
    <w:basedOn w:val="1202"/>
    <w:next w:val="1223"/>
    <w:link w:val="1213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1204">
    <w:name w:val="Heading 2"/>
    <w:basedOn w:val="1202"/>
    <w:next w:val="1224"/>
    <w:link w:val="1214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1205">
    <w:name w:val="Heading 3"/>
    <w:basedOn w:val="1202"/>
    <w:next w:val="1226"/>
    <w:link w:val="1215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1206">
    <w:name w:val="Heading 4"/>
    <w:basedOn w:val="1202"/>
    <w:next w:val="1266"/>
    <w:link w:val="1216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1207">
    <w:name w:val="Heading 5"/>
    <w:basedOn w:val="1202"/>
    <w:next w:val="1202"/>
    <w:link w:val="1217"/>
    <w:qFormat/>
    <w:pPr>
      <w:jc w:val="left"/>
      <w:spacing w:before="240" w:after="60" w:line="360" w:lineRule="auto"/>
      <w:outlineLvl w:val="4"/>
    </w:pPr>
    <w:rPr>
      <w:rFonts w:ascii="Arial" w:hAnsi="Arial"/>
      <w:color w:val="auto"/>
      <w:sz w:val="22"/>
      <w:lang w:eastAsia="en-US"/>
    </w:rPr>
  </w:style>
  <w:style w:type="paragraph" w:styleId="1208">
    <w:name w:val="Heading 6"/>
    <w:basedOn w:val="1202"/>
    <w:next w:val="1202"/>
    <w:link w:val="1218"/>
    <w:pPr>
      <w:jc w:val="left"/>
      <w:spacing w:before="240" w:after="60" w:line="360" w:lineRule="auto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1209">
    <w:name w:val="Heading 7"/>
    <w:basedOn w:val="1202"/>
    <w:next w:val="1202"/>
    <w:link w:val="1219"/>
    <w:pPr>
      <w:jc w:val="left"/>
      <w:keepNext/>
      <w:spacing w:line="360" w:lineRule="auto"/>
      <w:outlineLvl w:val="6"/>
    </w:pPr>
    <w:rPr>
      <w:rFonts w:ascii="Arial" w:hAnsi="Arial"/>
      <w:i/>
      <w:color w:val="auto"/>
      <w:sz w:val="22"/>
      <w:lang w:val="en-US" w:eastAsia="en-US"/>
    </w:rPr>
  </w:style>
  <w:style w:type="character" w:styleId="1210" w:default="1">
    <w:name w:val="Default Paragraph Font"/>
    <w:uiPriority w:val="1"/>
    <w:semiHidden/>
    <w:unhideWhenUsed/>
  </w:style>
  <w:style w:type="table" w:styleId="12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212" w:default="1">
    <w:name w:val="No List"/>
    <w:uiPriority w:val="99"/>
    <w:semiHidden/>
    <w:unhideWhenUsed/>
  </w:style>
  <w:style w:type="character" w:styleId="1213" w:customStyle="1">
    <w:name w:val="Заголовок 1 Знак"/>
    <w:basedOn w:val="1210"/>
    <w:link w:val="1203"/>
    <w:rPr>
      <w:rFonts w:ascii="Arial" w:hAnsi="Arial" w:eastAsia="Times New Roman" w:cs="Times New Roman"/>
      <w:b/>
      <w:bCs/>
      <w:color w:val="000000"/>
      <w:sz w:val="36"/>
      <w:szCs w:val="20"/>
      <w:lang w:eastAsia="ru-RU"/>
    </w:rPr>
  </w:style>
  <w:style w:type="character" w:styleId="1214" w:customStyle="1">
    <w:name w:val="Заголовок 2 Знак"/>
    <w:basedOn w:val="1210"/>
    <w:link w:val="1204"/>
    <w:rPr>
      <w:rFonts w:ascii="Arial" w:hAnsi="Arial" w:eastAsia="Times New Roman" w:cs="Times New Roman"/>
      <w:b/>
      <w:bCs/>
      <w:color w:val="000000"/>
      <w:sz w:val="32"/>
      <w:szCs w:val="20"/>
      <w:lang w:eastAsia="ru-RU"/>
    </w:rPr>
  </w:style>
  <w:style w:type="character" w:styleId="1215" w:customStyle="1">
    <w:name w:val="Заголовок 3 Знак"/>
    <w:basedOn w:val="1210"/>
    <w:link w:val="1205"/>
    <w:rPr>
      <w:rFonts w:ascii="Arial" w:hAnsi="Arial" w:eastAsia="Times New Roman" w:cs="Times New Roman"/>
      <w:b/>
      <w:bCs/>
      <w:color w:val="000000"/>
      <w:sz w:val="28"/>
      <w:szCs w:val="20"/>
      <w:lang w:eastAsia="ru-RU"/>
    </w:rPr>
  </w:style>
  <w:style w:type="character" w:styleId="1216" w:customStyle="1">
    <w:name w:val="Заголовок 4 Знак"/>
    <w:basedOn w:val="1210"/>
    <w:link w:val="1206"/>
    <w:rPr>
      <w:rFonts w:ascii="Arial" w:hAnsi="Arial" w:eastAsia="Times New Roman" w:cs="Times New Roman"/>
      <w:color w:val="000000"/>
      <w:sz w:val="28"/>
      <w:szCs w:val="20"/>
      <w:lang w:eastAsia="ru-RU"/>
    </w:rPr>
  </w:style>
  <w:style w:type="character" w:styleId="1217" w:customStyle="1">
    <w:name w:val="Заголовок 5 Знак"/>
    <w:basedOn w:val="1210"/>
    <w:link w:val="1207"/>
    <w:rPr>
      <w:rFonts w:ascii="Arial" w:hAnsi="Arial" w:eastAsia="Times New Roman" w:cs="Times New Roman"/>
      <w:szCs w:val="20"/>
    </w:rPr>
  </w:style>
  <w:style w:type="character" w:styleId="1218" w:customStyle="1">
    <w:name w:val="Заголовок 6 Знак"/>
    <w:basedOn w:val="1210"/>
    <w:link w:val="1208"/>
    <w:rPr>
      <w:rFonts w:ascii="Arial" w:hAnsi="Arial" w:eastAsia="Times New Roman" w:cs="Times New Roman"/>
      <w:i/>
      <w:szCs w:val="20"/>
    </w:rPr>
  </w:style>
  <w:style w:type="character" w:styleId="1219" w:customStyle="1">
    <w:name w:val="Заголовок 7 Знак"/>
    <w:basedOn w:val="1210"/>
    <w:link w:val="1209"/>
    <w:rPr>
      <w:rFonts w:ascii="Arial" w:hAnsi="Arial" w:eastAsia="Times New Roman" w:cs="Times New Roman"/>
      <w:i/>
      <w:szCs w:val="20"/>
      <w:lang w:val="en-US"/>
    </w:rPr>
  </w:style>
  <w:style w:type="paragraph" w:styleId="1220">
    <w:name w:val="Body Text"/>
    <w:basedOn w:val="1202"/>
    <w:link w:val="1221"/>
    <w:pPr>
      <w:ind w:firstLine="567"/>
    </w:pPr>
    <w:rPr>
      <w:sz w:val="28"/>
    </w:rPr>
  </w:style>
  <w:style w:type="character" w:styleId="1221" w:customStyle="1">
    <w:name w:val="Основной текст Знак"/>
    <w:basedOn w:val="1210"/>
    <w:link w:val="1220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1222" w:customStyle="1">
    <w:name w:val="Таблица - наименование"/>
    <w:basedOn w:val="1202"/>
    <w:qFormat/>
    <w:pPr>
      <w:jc w:val="left"/>
      <w:keepNext/>
      <w:spacing w:before="120" w:after="60"/>
    </w:pPr>
    <w:rPr>
      <w:color w:val="auto"/>
      <w:sz w:val="28"/>
    </w:rPr>
  </w:style>
  <w:style w:type="paragraph" w:styleId="1223" w:customStyle="1">
    <w:name w:val="Пункт 2 уровня"/>
    <w:basedOn w:val="1204"/>
    <w:link w:val="1304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1224" w:customStyle="1">
    <w:name w:val="Пункт 3 уровня"/>
    <w:basedOn w:val="1205"/>
    <w:link w:val="1225"/>
    <w:pPr>
      <w:keepNext w:val="0"/>
      <w:spacing w:before="120"/>
    </w:pPr>
    <w:rPr>
      <w:rFonts w:ascii="Times New Roman" w:hAnsi="Times New Roman"/>
      <w:b w:val="0"/>
    </w:rPr>
  </w:style>
  <w:style w:type="character" w:styleId="1225" w:customStyle="1">
    <w:name w:val="Пункт 3 уровня Знак"/>
    <w:link w:val="1224"/>
    <w:rPr>
      <w:rFonts w:ascii="Times New Roman" w:hAnsi="Times New Roman" w:eastAsia="Times New Roman" w:cs="Times New Roman"/>
      <w:bCs/>
      <w:color w:val="000000"/>
      <w:sz w:val="28"/>
      <w:szCs w:val="20"/>
      <w:lang w:eastAsia="ru-RU"/>
    </w:rPr>
  </w:style>
  <w:style w:type="paragraph" w:styleId="1226" w:customStyle="1">
    <w:name w:val="Пункт 4 уровня"/>
    <w:basedOn w:val="1206"/>
    <w:link w:val="1227"/>
    <w:pPr>
      <w:spacing w:before="120"/>
    </w:pPr>
    <w:rPr>
      <w:rFonts w:ascii="Times New Roman" w:hAnsi="Times New Roman"/>
    </w:rPr>
  </w:style>
  <w:style w:type="character" w:styleId="1227" w:customStyle="1">
    <w:name w:val="Пункт 4 уровня Знак"/>
    <w:basedOn w:val="1216"/>
    <w:link w:val="1226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character" w:styleId="1228">
    <w:name w:val="FollowedHyperlink"/>
    <w:rPr>
      <w:color w:val="800080"/>
      <w:u w:val="single"/>
    </w:rPr>
  </w:style>
  <w:style w:type="paragraph" w:styleId="1229">
    <w:name w:val="Header"/>
    <w:basedOn w:val="1202"/>
    <w:link w:val="1230"/>
  </w:style>
  <w:style w:type="character" w:styleId="1230" w:customStyle="1">
    <w:name w:val="Верхний колонтитул Знак"/>
    <w:basedOn w:val="1210"/>
    <w:link w:val="1229"/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styleId="1231">
    <w:name w:val="Hyperlink"/>
    <w:uiPriority w:val="99"/>
    <w:rPr>
      <w:color w:val="0000ff"/>
      <w:u w:val="single"/>
    </w:rPr>
  </w:style>
  <w:style w:type="paragraph" w:styleId="1232" w:customStyle="1">
    <w:name w:val="Заголовки без нумерации"/>
    <w:basedOn w:val="1203"/>
    <w:next w:val="1220"/>
    <w:pPr>
      <w:numPr>
        <w:ilvl w:val="0"/>
        <w:numId w:val="0"/>
      </w:numPr>
    </w:pPr>
  </w:style>
  <w:style w:type="paragraph" w:styleId="1233">
    <w:name w:val="Footer"/>
    <w:link w:val="1234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Arial" w:hAnsi="Arial" w:eastAsia="Times New Roman" w:cs="Times New Roman"/>
      <w:i/>
      <w:sz w:val="16"/>
      <w:szCs w:val="20"/>
      <w:lang w:val="en-US" w:eastAsia="ru-RU"/>
    </w:rPr>
  </w:style>
  <w:style w:type="character" w:styleId="1234" w:customStyle="1">
    <w:name w:val="Нижний колонтитул Знак"/>
    <w:basedOn w:val="1210"/>
    <w:link w:val="1233"/>
    <w:rPr>
      <w:rFonts w:ascii="Arial" w:hAnsi="Arial" w:eastAsia="Times New Roman" w:cs="Times New Roman"/>
      <w:i/>
      <w:sz w:val="16"/>
      <w:szCs w:val="20"/>
      <w:lang w:val="en-US" w:eastAsia="ru-RU"/>
    </w:rPr>
  </w:style>
  <w:style w:type="character" w:styleId="1235">
    <w:name w:val="page number"/>
    <w:rPr>
      <w:iCs/>
      <w:sz w:val="28"/>
    </w:rPr>
  </w:style>
  <w:style w:type="paragraph" w:styleId="1236">
    <w:name w:val="toc 4"/>
    <w:basedOn w:val="1202"/>
    <w:next w:val="1202"/>
    <w:semiHidden/>
    <w:pPr>
      <w:ind w:left="720"/>
    </w:pPr>
  </w:style>
  <w:style w:type="paragraph" w:styleId="1237" w:customStyle="1">
    <w:name w:val="Таблица (10) - осн. текст"/>
    <w:basedOn w:val="1202"/>
    <w:pPr>
      <w:ind w:firstLine="5"/>
      <w:jc w:val="left"/>
      <w:spacing w:after="60"/>
    </w:pPr>
    <w:rPr>
      <w:rFonts w:ascii="Arial" w:hAnsi="Arial"/>
      <w:sz w:val="20"/>
    </w:rPr>
  </w:style>
  <w:style w:type="paragraph" w:styleId="1238" w:customStyle="1">
    <w:name w:val="Таблица (10) - список нум. 1"/>
    <w:basedOn w:val="1237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1239">
    <w:name w:val="toc 1"/>
    <w:basedOn w:val="1202"/>
    <w:next w:val="1202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auto"/>
      <w:sz w:val="28"/>
      <w:lang w:eastAsia="en-US"/>
    </w:rPr>
  </w:style>
  <w:style w:type="paragraph" w:styleId="1240">
    <w:name w:val="toc 2"/>
    <w:basedOn w:val="1202"/>
    <w:next w:val="1202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auto"/>
      <w:sz w:val="28"/>
      <w:szCs w:val="24"/>
    </w:rPr>
  </w:style>
  <w:style w:type="paragraph" w:styleId="1241">
    <w:name w:val="toc 3"/>
    <w:basedOn w:val="1202"/>
    <w:next w:val="1202"/>
    <w:uiPriority w:val="39"/>
    <w:pPr>
      <w:numPr>
        <w:ilvl w:val="0"/>
        <w:numId w:val="5"/>
      </w:numPr>
      <w:ind w:left="629" w:firstLine="0"/>
      <w:jc w:val="left"/>
      <w:spacing w:before="120" w:after="120"/>
      <w:tabs>
        <w:tab w:val="clear" w:pos="360" w:leader="none"/>
        <w:tab w:val="left" w:pos="627" w:leader="none"/>
        <w:tab w:val="right" w:pos="9923" w:leader="dot"/>
      </w:tabs>
    </w:pPr>
    <w:rPr>
      <w:rFonts w:ascii="Arial" w:hAnsi="Arial" w:cs="Arial"/>
      <w:color w:val="auto"/>
      <w:szCs w:val="24"/>
      <w:lang w:eastAsia="en-US"/>
    </w:rPr>
  </w:style>
  <w:style w:type="character" w:styleId="1242" w:customStyle="1">
    <w:name w:val="Текст примечания Знак"/>
    <w:link w:val="1243"/>
    <w:semiHidden/>
    <w:rPr>
      <w:color w:val="000000"/>
    </w:rPr>
  </w:style>
  <w:style w:type="paragraph" w:styleId="1243">
    <w:name w:val="annotation text"/>
    <w:basedOn w:val="1202"/>
    <w:link w:val="1242"/>
    <w:semiHidden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244" w:customStyle="1">
    <w:name w:val="Текст примечания Знак1"/>
    <w:basedOn w:val="1210"/>
    <w:uiPriority w:val="99"/>
    <w:semiHidden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1245" w:customStyle="1">
    <w:name w:val="Список маркированный уровень 1"/>
    <w:basedOn w:val="1202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auto"/>
      <w:sz w:val="28"/>
    </w:rPr>
  </w:style>
  <w:style w:type="paragraph" w:styleId="1246" w:customStyle="1">
    <w:name w:val="Список маркированный уровень 2"/>
    <w:basedOn w:val="1202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auto"/>
      <w:sz w:val="28"/>
    </w:rPr>
  </w:style>
  <w:style w:type="paragraph" w:styleId="1247">
    <w:name w:val="Normal (Web)"/>
    <w:basedOn w:val="1202"/>
    <w:uiPriority w:val="99"/>
    <w:rPr>
      <w:szCs w:val="24"/>
    </w:rPr>
  </w:style>
  <w:style w:type="paragraph" w:styleId="1248" w:customStyle="1">
    <w:name w:val="Список нумерованный"/>
    <w:basedOn w:val="1202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1249" w:customStyle="1">
    <w:name w:val="Таблица (10) - сп.марк.ур.1"/>
    <w:basedOn w:val="1237"/>
    <w:pPr>
      <w:ind w:left="170" w:hanging="170"/>
      <w:tabs>
        <w:tab w:val="num" w:pos="171" w:leader="none"/>
      </w:tabs>
    </w:pPr>
  </w:style>
  <w:style w:type="paragraph" w:styleId="1250">
    <w:name w:val="footnote text"/>
    <w:basedOn w:val="1202"/>
    <w:link w:val="1251"/>
    <w:semiHidden/>
    <w:rPr>
      <w:rFonts w:ascii="Arial" w:hAnsi="Arial"/>
      <w:sz w:val="20"/>
    </w:rPr>
  </w:style>
  <w:style w:type="character" w:styleId="1251" w:customStyle="1">
    <w:name w:val="Текст сноски Знак"/>
    <w:basedOn w:val="1210"/>
    <w:link w:val="1250"/>
    <w:semiHidden/>
    <w:rPr>
      <w:rFonts w:ascii="Arial" w:hAnsi="Arial" w:eastAsia="Times New Roman" w:cs="Times New Roman"/>
      <w:color w:val="000000"/>
      <w:sz w:val="20"/>
      <w:szCs w:val="20"/>
      <w:lang w:eastAsia="ru-RU"/>
    </w:rPr>
  </w:style>
  <w:style w:type="character" w:styleId="1252">
    <w:name w:val="footnote reference"/>
    <w:rPr>
      <w:vertAlign w:val="superscript"/>
    </w:rPr>
  </w:style>
  <w:style w:type="paragraph" w:styleId="1253" w:customStyle="1">
    <w:name w:val="Таблица (10) - сп.марк.ур.2"/>
    <w:basedOn w:val="1237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1254" w:customStyle="1">
    <w:name w:val="Заголовок приложения"/>
    <w:basedOn w:val="1203"/>
    <w:next w:val="1202"/>
    <w:pPr>
      <w:numPr>
        <w:ilvl w:val="0"/>
        <w:numId w:val="0"/>
      </w:numPr>
      <w:jc w:val="right"/>
      <w:spacing w:before="0"/>
    </w:pPr>
  </w:style>
  <w:style w:type="paragraph" w:styleId="1255">
    <w:name w:val="toc 5"/>
    <w:basedOn w:val="1202"/>
    <w:next w:val="1202"/>
    <w:semiHidden/>
    <w:pPr>
      <w:ind w:left="960"/>
    </w:pPr>
  </w:style>
  <w:style w:type="paragraph" w:styleId="1256">
    <w:name w:val="toc 6"/>
    <w:basedOn w:val="1202"/>
    <w:next w:val="1202"/>
    <w:semiHidden/>
    <w:pPr>
      <w:ind w:left="1200"/>
    </w:pPr>
  </w:style>
  <w:style w:type="paragraph" w:styleId="1257">
    <w:name w:val="toc 7"/>
    <w:basedOn w:val="1202"/>
    <w:next w:val="1202"/>
    <w:semiHidden/>
    <w:pPr>
      <w:ind w:left="1440"/>
    </w:pPr>
  </w:style>
  <w:style w:type="paragraph" w:styleId="1258">
    <w:name w:val="toc 8"/>
    <w:basedOn w:val="1202"/>
    <w:next w:val="1202"/>
    <w:semiHidden/>
    <w:pPr>
      <w:ind w:left="1680"/>
    </w:pPr>
  </w:style>
  <w:style w:type="paragraph" w:styleId="1259">
    <w:name w:val="toc 9"/>
    <w:basedOn w:val="1202"/>
    <w:next w:val="1202"/>
    <w:semiHidden/>
    <w:pPr>
      <w:ind w:left="1920"/>
    </w:pPr>
  </w:style>
  <w:style w:type="character" w:styleId="1260">
    <w:name w:val="annotation reference"/>
    <w:uiPriority w:val="99"/>
    <w:semiHidden/>
    <w:rPr>
      <w:sz w:val="16"/>
      <w:szCs w:val="16"/>
    </w:rPr>
  </w:style>
  <w:style w:type="paragraph" w:styleId="1261" w:customStyle="1">
    <w:name w:val="Основной текст (центр/одинарный)"/>
    <w:basedOn w:val="1220"/>
    <w:link w:val="1262"/>
    <w:pPr>
      <w:ind w:firstLine="0"/>
      <w:jc w:val="center"/>
      <w:spacing w:before="120" w:after="120"/>
    </w:pPr>
  </w:style>
  <w:style w:type="character" w:styleId="1262" w:customStyle="1">
    <w:name w:val="Основной текст (центр/одинарный) Знак"/>
    <w:link w:val="1261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1263" w:customStyle="1">
    <w:name w:val="Список маркированный уровень 3"/>
    <w:basedOn w:val="1202"/>
    <w:pPr>
      <w:ind w:left="1701" w:hanging="397"/>
    </w:pPr>
    <w:rPr>
      <w:sz w:val="28"/>
    </w:rPr>
  </w:style>
  <w:style w:type="paragraph" w:styleId="1264">
    <w:name w:val="Document Map"/>
    <w:basedOn w:val="1202"/>
    <w:link w:val="1265"/>
    <w:semiHidden/>
    <w:pPr>
      <w:numPr>
        <w:ilvl w:val="0"/>
        <w:numId w:val="8"/>
      </w:numPr>
      <w:ind w:left="0" w:firstLine="0"/>
      <w:shd w:val="clear" w:color="auto" w:fill="000080"/>
      <w:tabs>
        <w:tab w:val="clear" w:pos="1701" w:leader="none"/>
      </w:tabs>
    </w:pPr>
    <w:rPr>
      <w:rFonts w:ascii="Tahoma" w:hAnsi="Tahoma" w:cs="Tahoma"/>
    </w:rPr>
  </w:style>
  <w:style w:type="character" w:styleId="1265" w:customStyle="1">
    <w:name w:val="Схема документа Знак"/>
    <w:basedOn w:val="1210"/>
    <w:link w:val="1264"/>
    <w:semiHidden/>
    <w:rPr>
      <w:rFonts w:ascii="Tahoma" w:hAnsi="Tahoma" w:eastAsia="Times New Roman" w:cs="Tahoma"/>
      <w:color w:val="000000"/>
      <w:sz w:val="24"/>
      <w:szCs w:val="20"/>
      <w:shd w:val="clear" w:color="auto" w:fill="000080"/>
      <w:lang w:eastAsia="ru-RU"/>
    </w:rPr>
  </w:style>
  <w:style w:type="paragraph" w:styleId="1266" w:customStyle="1">
    <w:name w:val="Основной текст (без отступа)"/>
    <w:basedOn w:val="1220"/>
    <w:pPr>
      <w:ind w:firstLine="0"/>
      <w:spacing w:before="120" w:after="120"/>
    </w:pPr>
  </w:style>
  <w:style w:type="paragraph" w:styleId="1267">
    <w:name w:val="table of figures"/>
    <w:basedOn w:val="1220"/>
    <w:next w:val="1202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1268" w:customStyle="1">
    <w:name w:val="Рисунок - наименование"/>
    <w:basedOn w:val="1202"/>
    <w:pPr>
      <w:jc w:val="center"/>
      <w:spacing w:before="120" w:after="120"/>
    </w:pPr>
    <w:rPr>
      <w:bCs/>
      <w:sz w:val="28"/>
    </w:rPr>
  </w:style>
  <w:style w:type="paragraph" w:styleId="1269" w:customStyle="1">
    <w:name w:val="Таблица (8) - осн. текст"/>
    <w:basedOn w:val="1202"/>
    <w:pPr>
      <w:ind w:left="57" w:right="57"/>
      <w:jc w:val="left"/>
    </w:pPr>
    <w:rPr>
      <w:rFonts w:ascii="Arial" w:hAnsi="Arial" w:cs="Arial"/>
      <w:sz w:val="16"/>
    </w:rPr>
  </w:style>
  <w:style w:type="paragraph" w:styleId="1270">
    <w:name w:val="Balloon Text"/>
    <w:basedOn w:val="1202"/>
    <w:link w:val="1271"/>
    <w:semiHidden/>
    <w:rPr>
      <w:rFonts w:ascii="Tahoma" w:hAnsi="Tahoma" w:cs="Tahoma"/>
      <w:sz w:val="16"/>
      <w:szCs w:val="16"/>
    </w:rPr>
  </w:style>
  <w:style w:type="character" w:styleId="1271" w:customStyle="1">
    <w:name w:val="Текст выноски Знак"/>
    <w:basedOn w:val="1210"/>
    <w:link w:val="1270"/>
    <w:semiHidden/>
    <w:rPr>
      <w:rFonts w:ascii="Tahoma" w:hAnsi="Tahoma" w:eastAsia="Times New Roman" w:cs="Tahoma"/>
      <w:color w:val="000000"/>
      <w:sz w:val="16"/>
      <w:szCs w:val="16"/>
      <w:lang w:eastAsia="ru-RU"/>
    </w:rPr>
  </w:style>
  <w:style w:type="paragraph" w:styleId="1272" w:customStyle="1">
    <w:name w:val="Титульный лист - текст"/>
    <w:link w:val="1301"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73" w:customStyle="1">
    <w:name w:val="Список общий (ручная нумерация)"/>
    <w:basedOn w:val="1220"/>
    <w:next w:val="1202"/>
    <w:pPr>
      <w:ind w:left="851" w:hanging="284"/>
      <w:spacing w:before="120" w:after="120"/>
    </w:pPr>
  </w:style>
  <w:style w:type="paragraph" w:styleId="1274">
    <w:name w:val="annotation subject"/>
    <w:basedOn w:val="1243"/>
    <w:next w:val="1243"/>
    <w:link w:val="1275"/>
    <w:semiHidden/>
    <w:rPr>
      <w:b/>
      <w:bCs/>
    </w:rPr>
  </w:style>
  <w:style w:type="character" w:styleId="1275" w:customStyle="1">
    <w:name w:val="Тема примечания Знак"/>
    <w:basedOn w:val="1244"/>
    <w:link w:val="1274"/>
    <w:semiHidden/>
    <w:rPr>
      <w:rFonts w:ascii="Times New Roman" w:hAnsi="Times New Roman" w:eastAsia="Times New Roman" w:cs="Times New Roman"/>
      <w:b/>
      <w:bCs/>
      <w:color w:val="000000"/>
      <w:sz w:val="20"/>
      <w:szCs w:val="20"/>
      <w:lang w:eastAsia="ru-RU"/>
    </w:rPr>
  </w:style>
  <w:style w:type="paragraph" w:styleId="1276" w:customStyle="1">
    <w:name w:val="Нумерация"/>
    <w:basedOn w:val="1202"/>
    <w:pPr>
      <w:ind w:left="924" w:hanging="357"/>
      <w:jc w:val="left"/>
      <w:spacing w:line="500" w:lineRule="exact"/>
      <w:tabs>
        <w:tab w:val="num" w:pos="927" w:leader="none"/>
        <w:tab w:val="left" w:pos="1134" w:leader="none"/>
      </w:tabs>
    </w:pPr>
    <w:rPr>
      <w:rFonts w:ascii="Arial" w:hAnsi="Arial"/>
      <w:color w:val="auto"/>
    </w:rPr>
  </w:style>
  <w:style w:type="paragraph" w:styleId="1277" w:customStyle="1">
    <w:name w:val="Пункт 3 уровня без нумерации"/>
    <w:basedOn w:val="1224"/>
    <w:pPr>
      <w:numPr>
        <w:ilvl w:val="0"/>
        <w:numId w:val="0"/>
      </w:numPr>
      <w:ind w:firstLine="567"/>
    </w:pPr>
  </w:style>
  <w:style w:type="paragraph" w:styleId="1278">
    <w:name w:val="index 1"/>
    <w:basedOn w:val="1202"/>
    <w:next w:val="1202"/>
    <w:semiHidden/>
    <w:pPr>
      <w:ind w:left="240" w:hanging="240"/>
    </w:pPr>
  </w:style>
  <w:style w:type="table" w:styleId="1279">
    <w:name w:val="Table Grid"/>
    <w:basedOn w:val="1211"/>
    <w:uiPriority w:val="3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280" w:customStyle="1">
    <w:name w:val="Титльный лист - заголовок документа"/>
    <w:basedOn w:val="1202"/>
    <w:pPr>
      <w:jc w:val="center"/>
    </w:pPr>
    <w:rPr>
      <w:rFonts w:ascii="Arial" w:hAnsi="Arial"/>
      <w:b/>
      <w:sz w:val="36"/>
    </w:rPr>
  </w:style>
  <w:style w:type="paragraph" w:styleId="1281" w:customStyle="1">
    <w:name w:val="Титульный лист - название документа"/>
    <w:basedOn w:val="1280"/>
    <w:link w:val="1285"/>
    <w:rPr>
      <w:b w:val="0"/>
    </w:rPr>
  </w:style>
  <w:style w:type="paragraph" w:styleId="1282">
    <w:name w:val="endnote text"/>
    <w:basedOn w:val="1202"/>
    <w:link w:val="1283"/>
    <w:pPr>
      <w:numPr>
        <w:ilvl w:val="0"/>
        <w:numId w:val="9"/>
      </w:numPr>
      <w:ind w:left="0" w:firstLine="0"/>
      <w:tabs>
        <w:tab w:val="clear" w:pos="927" w:leader="none"/>
      </w:tabs>
    </w:pPr>
    <w:rPr>
      <w:sz w:val="20"/>
    </w:rPr>
  </w:style>
  <w:style w:type="character" w:styleId="1283" w:customStyle="1">
    <w:name w:val="Текст концевой сноски Знак"/>
    <w:basedOn w:val="1210"/>
    <w:link w:val="1282"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1284">
    <w:name w:val="endnote reference"/>
    <w:rPr>
      <w:vertAlign w:val="superscript"/>
    </w:rPr>
  </w:style>
  <w:style w:type="character" w:styleId="1285" w:customStyle="1">
    <w:name w:val="Титульный лист - название документа Знак"/>
    <w:link w:val="1281"/>
    <w:rPr>
      <w:rFonts w:ascii="Arial" w:hAnsi="Arial" w:eastAsia="Times New Roman" w:cs="Times New Roman"/>
      <w:color w:val="000000"/>
      <w:sz w:val="36"/>
      <w:szCs w:val="20"/>
      <w:lang w:eastAsia="ru-RU"/>
    </w:rPr>
  </w:style>
  <w:style w:type="paragraph" w:styleId="1286" w:customStyle="1">
    <w:name w:val="Таблица (12) - Заголовки"/>
    <w:basedOn w:val="1266"/>
    <w:qFormat/>
    <w:pPr>
      <w:jc w:val="left"/>
      <w:spacing w:before="60" w:after="60"/>
    </w:pPr>
    <w:rPr>
      <w:rFonts w:ascii="Arial" w:hAnsi="Arial" w:cs="Arial"/>
      <w:b/>
    </w:rPr>
  </w:style>
  <w:style w:type="paragraph" w:styleId="1287" w:customStyle="1">
    <w:name w:val="Таблица (12) - осн. текст"/>
    <w:basedOn w:val="1266"/>
    <w:qFormat/>
    <w:pPr>
      <w:jc w:val="left"/>
      <w:spacing w:before="60" w:after="60"/>
    </w:pPr>
    <w:rPr>
      <w:sz w:val="24"/>
    </w:rPr>
  </w:style>
  <w:style w:type="table" w:styleId="1288" w:customStyle="1">
    <w:name w:val="Таблица (12)"/>
    <w:basedOn w:val="1211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1289">
    <w:name w:val="Table Elegant"/>
    <w:basedOn w:val="1211"/>
    <w:pPr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1290">
    <w:name w:val="Table Web 1"/>
    <w:basedOn w:val="1211"/>
    <w:pPr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1291">
    <w:name w:val="Light List"/>
    <w:basedOn w:val="1211"/>
    <w:uiPriority w:val="61"/>
    <w:pPr>
      <w:spacing w:after="0" w:line="240" w:lineRule="auto"/>
    </w:pPr>
    <w:rPr>
      <w:rFonts w:ascii="Calibri" w:hAnsi="Calibri" w:eastAsia="Times New Roman" w:cs="Times New Roman"/>
      <w:lang w:eastAsia="ru-RU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1292" w:customStyle="1">
    <w:name w:val="Выделение жирным шрифтом"/>
    <w:qFormat/>
    <w:rPr>
      <w:b/>
    </w:rPr>
  </w:style>
  <w:style w:type="character" w:styleId="1293" w:customStyle="1">
    <w:name w:val="Выделение курсивом"/>
    <w:qFormat/>
    <w:rPr>
      <w:i/>
    </w:rPr>
  </w:style>
  <w:style w:type="character" w:styleId="1294" w:customStyle="1">
    <w:name w:val="Выделение подчеркиванием"/>
    <w:qFormat/>
    <w:rPr>
      <w:u w:val="single"/>
    </w:rPr>
  </w:style>
  <w:style w:type="paragraph" w:styleId="1295">
    <w:name w:val="List Paragraph"/>
    <w:basedOn w:val="1202"/>
    <w:link w:val="1309"/>
    <w:uiPriority w:val="34"/>
    <w:qFormat/>
    <w:pPr>
      <w:ind w:left="708"/>
    </w:pPr>
    <w:rPr>
      <w:sz w:val="28"/>
    </w:rPr>
  </w:style>
  <w:style w:type="paragraph" w:styleId="1296">
    <w:name w:val="Caption"/>
    <w:basedOn w:val="1202"/>
    <w:next w:val="1202"/>
    <w:rPr>
      <w:bCs/>
      <w:sz w:val="28"/>
    </w:rPr>
  </w:style>
  <w:style w:type="character" w:styleId="1297" w:customStyle="1">
    <w:name w:val="я_Технический стиль 1 Знак"/>
    <w:link w:val="1298"/>
    <w:rPr>
      <w:rFonts w:ascii="Arial" w:hAnsi="Arial" w:cs="Arial"/>
      <w:b/>
      <w:bCs/>
      <w:color w:val="000000"/>
      <w:sz w:val="24"/>
      <w:szCs w:val="24"/>
    </w:rPr>
  </w:style>
  <w:style w:type="paragraph" w:styleId="1298" w:customStyle="1">
    <w:name w:val="я_Технический стиль 1"/>
    <w:basedOn w:val="1202"/>
    <w:link w:val="1297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 w:eastAsiaTheme="minorHAnsi"/>
      <w:b/>
      <w:bCs/>
      <w:szCs w:val="24"/>
      <w:lang w:eastAsia="en-US"/>
    </w:rPr>
  </w:style>
  <w:style w:type="paragraph" w:styleId="1299" w:customStyle="1">
    <w:name w:val="я_Технический стиль 2"/>
    <w:basedOn w:val="1272"/>
    <w:link w:val="1302"/>
    <w:qFormat/>
    <w:rPr>
      <w:rFonts w:cs="Arial"/>
      <w:u w:val="single"/>
    </w:rPr>
  </w:style>
  <w:style w:type="paragraph" w:styleId="1300" w:customStyle="1">
    <w:name w:val="я_Технический стиль 3"/>
    <w:basedOn w:val="1272"/>
    <w:link w:val="1303"/>
    <w:qFormat/>
    <w:rPr>
      <w:rFonts w:ascii="Arial" w:hAnsi="Arial" w:cs="Arial"/>
      <w:b/>
    </w:rPr>
  </w:style>
  <w:style w:type="character" w:styleId="1301" w:customStyle="1">
    <w:name w:val="Титульный лист - текст Знак"/>
    <w:link w:val="1272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302" w:customStyle="1">
    <w:name w:val="я_Технический стиль 2 Знак"/>
    <w:link w:val="1299"/>
    <w:rPr>
      <w:rFonts w:ascii="Times New Roman" w:hAnsi="Times New Roman" w:eastAsia="Times New Roman" w:cs="Arial"/>
      <w:sz w:val="28"/>
      <w:szCs w:val="20"/>
      <w:u w:val="single"/>
      <w:lang w:eastAsia="ru-RU"/>
    </w:rPr>
  </w:style>
  <w:style w:type="character" w:styleId="1303" w:customStyle="1">
    <w:name w:val="я_Технический стиль 3 Знак"/>
    <w:link w:val="1300"/>
    <w:rPr>
      <w:rFonts w:ascii="Arial" w:hAnsi="Arial" w:eastAsia="Times New Roman" w:cs="Arial"/>
      <w:b/>
      <w:sz w:val="28"/>
      <w:szCs w:val="20"/>
      <w:lang w:eastAsia="ru-RU"/>
    </w:rPr>
  </w:style>
  <w:style w:type="character" w:styleId="1304" w:customStyle="1">
    <w:name w:val="Пункт 2 уровня Знак"/>
    <w:link w:val="1223"/>
    <w:rPr>
      <w:rFonts w:ascii="Times New Roman" w:hAnsi="Times New Roman" w:eastAsia="Times New Roman" w:cs="Times New Roman"/>
      <w:bCs/>
      <w:color w:val="000000"/>
      <w:sz w:val="28"/>
      <w:szCs w:val="20"/>
      <w:lang w:eastAsia="ru-RU"/>
    </w:rPr>
  </w:style>
  <w:style w:type="character" w:styleId="1305" w:customStyle="1">
    <w:name w:val="Выделение цветом (желтый)"/>
    <w:qFormat/>
    <w:rPr>
      <w:shd w:val="clear" w:color="auto" w:fill="ffff00"/>
    </w:rPr>
  </w:style>
  <w:style w:type="paragraph" w:styleId="1306" w:customStyle="1">
    <w:name w:val="Список нумерованный (цифра с точкой)"/>
    <w:basedOn w:val="1202"/>
    <w:qFormat/>
    <w:pPr>
      <w:numPr>
        <w:ilvl w:val="0"/>
        <w:numId w:val="10"/>
      </w:numPr>
      <w:ind w:left="426" w:hanging="426"/>
      <w:spacing w:before="120" w:after="120"/>
    </w:pPr>
    <w:rPr>
      <w:sz w:val="28"/>
      <w:szCs w:val="28"/>
    </w:rPr>
  </w:style>
  <w:style w:type="character" w:styleId="1307" w:customStyle="1">
    <w:name w:val="Выделение надстрочными символами"/>
    <w:qFormat/>
    <w:rPr>
      <w:vertAlign w:val="superscript"/>
    </w:rPr>
  </w:style>
  <w:style w:type="paragraph" w:styleId="1308" w:customStyle="1">
    <w:name w:val="я_технический стиль &quot;перечень&quot;"/>
    <w:basedOn w:val="1202"/>
    <w:qFormat/>
    <w:pPr>
      <w:spacing w:before="60" w:after="60"/>
      <w:tabs>
        <w:tab w:val="right" w:pos="9627" w:leader="dot"/>
      </w:tabs>
    </w:pPr>
    <w:rPr>
      <w:sz w:val="28"/>
    </w:rPr>
  </w:style>
  <w:style w:type="character" w:styleId="1309" w:customStyle="1">
    <w:name w:val="Абзац списка Знак"/>
    <w:link w:val="1295"/>
    <w:uiPriority w:val="34"/>
    <w:qFormat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1310" w:customStyle="1">
    <w:name w:val="_GOST_Normal"/>
    <w:pPr>
      <w:contextualSpacing/>
      <w:ind w:firstLine="567"/>
      <w:jc w:val="both"/>
      <w:spacing w:before="120" w:after="6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311" w:customStyle="1">
    <w:name w:val="a"/>
    <w:basedOn w:val="1210"/>
  </w:style>
  <w:style w:type="character" w:styleId="1312">
    <w:name w:val="Strong"/>
    <w:basedOn w:val="1210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customXml" Target="../customXml/item5.xml" /><Relationship Id="rId18" Type="http://schemas.openxmlformats.org/officeDocument/2006/relationships/customXml" Target="../customXml/item6.xml" /><Relationship Id="rId19" Type="http://schemas.openxmlformats.org/officeDocument/2006/relationships/hyperlink" Target="https://svn.sk.roskazna.ru/repos/fksuvvsvn/db01/" TargetMode="External"/><Relationship Id="rId20" Type="http://schemas.openxmlformats.org/officeDocument/2006/relationships/hyperlink" Target="http://www.roskazna.ru/upload/iblock/2cf/reglament-razmeshcheniya-informatsii-o-tekhnologiyakh-razrabotki_16.docx" TargetMode="External"/><Relationship Id="rId21" Type="http://schemas.openxmlformats.org/officeDocument/2006/relationships/hyperlink" Target="https://dkb.sk.roskazna.ru/x/vZVj" TargetMode="External"/><Relationship Id="rId22" Type="http://schemas.openxmlformats.org/officeDocument/2006/relationships/hyperlink" Target="http://www.roskazna.ru" TargetMode="External"/><Relationship Id="rId23" Type="http://schemas.openxmlformats.org/officeDocument/2006/relationships/hyperlink" Target="http://www.roskazna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1E527-FEE3-4489-84B9-08781AB06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9ECE2-3BF3-47B6-A72F-C94BA4666C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FEDA0D-5C77-42DF-B6B7-891D756737A0}">
  <ds:schemaRefs>
    <ds:schemaRef ds:uri="http://schemas.microsoft.com/office/2006/metadata/properties"/>
    <ds:schemaRef ds:uri="http://schemas.microsoft.com/office/infopath/2007/PartnerControls"/>
    <ds:schemaRef ds:uri="7963508c-c23e-4e15-b9d8-258925b385a4"/>
    <ds:schemaRef ds:uri="f38f20b2-d46c-43ff-8764-f543badc1528"/>
  </ds:schemaRefs>
</ds:datastoreItem>
</file>

<file path=customXml/itemProps4.xml><?xml version="1.0" encoding="utf-8"?>
<ds:datastoreItem xmlns:ds="http://schemas.openxmlformats.org/officeDocument/2006/customXml" ds:itemID="{086B61A7-30CF-476E-B347-80BAC4A918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FEAB4C6-4179-4FB5-8DDD-CC3C62F7D7D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FFFD1D6-2825-4FE3-98D9-46DB89DE1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ФК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Богатырев Сергей Александрович</dc:creator>
  <cp:revision>47</cp:revision>
  <dcterms:created xsi:type="dcterms:W3CDTF">2023-05-02T09:19:00Z</dcterms:created>
  <dcterms:modified xsi:type="dcterms:W3CDTF">2023-12-06T14:10:21Z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